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9"/>
        <w:ind w:left="284" w:right="140"/>
        <w:spacing w:before="0" w:after="0"/>
        <w:rPr>
          <w:b/>
          <w:bCs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1276"/>
        <w:ind w:firstLine="567"/>
        <w:jc w:val="center"/>
        <w:tabs>
          <w:tab w:val="left" w:pos="142" w:leader="none"/>
          <w:tab w:val="center" w:pos="1134" w:leader="none"/>
        </w:tabs>
        <w:rPr>
          <w:b/>
          <w:i/>
          <w:sz w:val="28"/>
          <w:szCs w:val="28"/>
        </w:rPr>
        <w:outlineLvl w:val="0"/>
      </w:pPr>
      <w:r>
        <w:rPr>
          <w:b/>
          <w:i/>
          <w:sz w:val="28"/>
          <w:szCs w:val="28"/>
        </w:rPr>
        <w:t xml:space="preserve">Приглашение к участию в закупке способом сравнения цен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1276"/>
        <w:ind w:firstLine="567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tabs>
          <w:tab w:val="left" w:pos="3933" w:leader="none"/>
        </w:tabs>
        <w:outlineLvl w:val="0"/>
      </w:pPr>
      <w:r>
        <w:rPr>
          <w:b/>
          <w:i/>
          <w:sz w:val="28"/>
          <w:szCs w:val="28"/>
        </w:rPr>
        <w:tab/>
      </w:r>
      <w:r/>
    </w:p>
    <w:p>
      <w:pPr>
        <w:pStyle w:val="1276"/>
        <w:jc w:val="both"/>
        <w:rPr>
          <w:b/>
          <w:bCs/>
          <w:spacing w:val="-2"/>
        </w:rPr>
      </w:pPr>
      <w:r>
        <w:t xml:space="preserve">Публичное акционерное общество «</w:t>
      </w:r>
      <w:r>
        <w:rPr>
          <w:rFonts w:cs="Segoe UI"/>
          <w:color w:val="262626"/>
        </w:rPr>
        <w:t xml:space="preserve">Россети Московский регион</w:t>
      </w:r>
      <w:r>
        <w:t xml:space="preserve">» (далее - «Россети Мос</w:t>
      </w:r>
      <w:r>
        <w:t xml:space="preserve">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на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063"/>
      </w:tblGrid>
      <w:tr>
        <w:tblPrEx/>
        <w:trPr>
          <w:trHeight w:val="52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6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Выполнение технического обслуживания ТП №1681 с 2-мя трансформаторами по 400 кВА и ТП № 1680 с 2-мя трансформаторами по 400 кВА на объекте, расположенном по адресу: 143581, Московская область, г. Истра, д. Аносино, коттеджный поселок «Грин Хилл», ул. Тенист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ая, здание 2Б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ия (далее -ТЗ).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6"/>
                <w:szCs w:val="26"/>
                <w14:ligatures w14:val="none"/>
              </w:rPr>
            </w:r>
          </w:p>
        </w:tc>
      </w:tr>
    </w:tbl>
    <w:p>
      <w:pPr>
        <w:jc w:val="both"/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 xml:space="preserve">(далее - Стандарт, Положение о закупке), утвержденного решением Совета Директоров ПАО «</w:t>
      </w:r>
      <w:r>
        <w:rPr>
          <w:rFonts w:cs="Segoe UI"/>
        </w:rPr>
        <w:t xml:space="preserve">Россети Московский регион</w:t>
      </w:r>
      <w:r>
        <w:t xml:space="preserve">» (протокол от 03.02.2023 №</w:t>
      </w:r>
      <w:r>
        <w:t xml:space="preserve"> </w:t>
      </w:r>
      <w:r>
        <w:t xml:space="preserve">536).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Потенци</w:t>
      </w:r>
      <w:r>
        <w:t xml:space="preserve">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</w:t>
      </w:r>
      <w:r>
        <w:t xml:space="preserve">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Закупка способом сравнение цен относится к неконкурентным способам закупок.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>
        <w:t xml:space="preserve"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  <w:r/>
    </w:p>
    <w:p>
      <w:pPr>
        <w:pStyle w:val="1276"/>
        <w:ind w:firstLine="567"/>
        <w:jc w:val="both"/>
        <w:tabs>
          <w:tab w:val="left" w:pos="142" w:leader="none"/>
          <w:tab w:val="left" w:pos="851" w:leader="none"/>
          <w:tab w:val="center" w:pos="1134" w:leader="none"/>
        </w:tabs>
      </w:pPr>
      <w:r/>
      <w:bookmarkStart w:id="0" w:name="_Ref119427085"/>
      <w: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0"/>
      <w:r/>
      <w:r/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b/>
          <w:i/>
          <w:spacing w:val="-2"/>
        </w:rPr>
      </w:pPr>
      <w:r>
        <w:rPr>
          <w:b/>
          <w:i/>
          <w:spacing w:val="-2"/>
        </w:rPr>
      </w:r>
      <w:r>
        <w:rPr>
          <w:b/>
          <w:i/>
          <w:spacing w:val="-2"/>
        </w:rPr>
      </w:r>
      <w:r>
        <w:rPr>
          <w:b/>
          <w:i/>
          <w:spacing w:val="-2"/>
        </w:rPr>
      </w:r>
    </w:p>
    <w:p>
      <w:pPr>
        <w:pStyle w:val="1276"/>
        <w:numPr>
          <w:ilvl w:val="0"/>
          <w:numId w:val="6"/>
        </w:numPr>
        <w:ind w:left="0" w:firstLine="567"/>
        <w:tabs>
          <w:tab w:val="left" w:pos="142" w:leader="none"/>
          <w:tab w:val="center" w:pos="1134" w:leader="none"/>
        </w:tabs>
        <w:outlineLvl w:val="0"/>
      </w:pPr>
      <w:r>
        <w:t xml:space="preserve">ИНФОРМАЦИЯ О ЗАКУПКЕ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Общая  информация о закупке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rPr>
          <w:bCs/>
        </w:rPr>
        <w:t xml:space="preserve">Закупка способом сравнение цен проводится в электронной форме.</w:t>
      </w:r>
      <w:r>
        <w:rPr>
          <w:i/>
        </w:rPr>
      </w:r>
      <w:r>
        <w:rPr>
          <w:i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</w:pPr>
      <w:r>
        <w:t xml:space="preserve">Ограничение участия только субъектом малого и среднего предпринимательства: установлено.</w:t>
      </w:r>
      <w:r/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</w:rPr>
      </w:pPr>
      <w:r>
        <w:t xml:space="preserve">Опубликовано на электронной торговой площадке: АО РАД https://tender.lot-online.ru/.</w:t>
      </w:r>
      <w:r>
        <w:rPr>
          <w:i/>
        </w:rPr>
      </w:r>
      <w:r>
        <w:rPr>
          <w:i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Наименование, место нахождения, почтовый адрес, адрес электронной почты, номер контактного телефона Заказчика</w:t>
      </w:r>
      <w:r>
        <w:rPr>
          <w:b/>
        </w:rPr>
      </w:r>
      <w:r>
        <w:rPr>
          <w:b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Наименование Заказчика: Филиал ПАО «Россети Московский Регион» - «Западные электрические сети»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left="142"/>
        <w:jc w:val="both"/>
        <w:tabs>
          <w:tab w:val="left" w:pos="142" w:leader="none"/>
          <w:tab w:val="center" w:pos="1134" w:leader="none"/>
        </w:tabs>
        <w:rPr>
          <w:rFonts w:eastAsia="Calibri"/>
        </w:rPr>
      </w:pPr>
      <w:r>
        <w:rPr>
          <w:rFonts w:eastAsia="Calibri"/>
        </w:rPr>
        <w:tab/>
        <w:t xml:space="preserve">Место нахождения и почтовый адрес Заказчика (Организатора): РФ, 143006, Московская область, г. Одинцово, Транспортный проезд, дом 32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ind w:firstLine="142"/>
        <w:rPr>
          <w:rFonts w:eastAsia="Calibri"/>
          <w:color w:val="000000"/>
          <w:lang w:val="en-US"/>
        </w:rPr>
      </w:pPr>
      <w:r>
        <w:rPr>
          <w:rFonts w:eastAsia="Calibri"/>
          <w:lang w:val="en-US"/>
        </w:rPr>
        <w:t xml:space="preserve">E-mail: </w:t>
      </w:r>
      <w:r>
        <w:fldChar w:fldCharType="begin"/>
      </w:r>
      <w:r>
        <w:rPr>
          <w:lang w:val="en-US"/>
        </w:rPr>
        <w:instrText xml:space="preserve"> HYPERLINK "mailto:zes@moesk.ru" \h </w:instrText>
      </w:r>
      <w:r>
        <w:fldChar w:fldCharType="separate"/>
      </w:r>
      <w:r>
        <w:rPr>
          <w:rFonts w:eastAsia="Calibri"/>
          <w:color w:val="0000ff"/>
          <w:u w:val="single"/>
          <w:lang w:val="en-US"/>
        </w:rPr>
        <w:t xml:space="preserve">zes@moesk.ru</w:t>
      </w:r>
      <w:r>
        <w:rPr>
          <w:rFonts w:eastAsia="Calibri"/>
          <w:color w:val="0000ff"/>
          <w:u w:val="single"/>
          <w:lang w:val="en-US"/>
        </w:rPr>
        <w:fldChar w:fldCharType="end"/>
      </w:r>
      <w:r>
        <w:rPr>
          <w:rFonts w:eastAsia="Calibri"/>
          <w:color w:val="000000"/>
          <w:lang w:val="en-US"/>
        </w:rPr>
      </w:r>
      <w:r>
        <w:rPr>
          <w:rFonts w:eastAsia="Calibri"/>
          <w:color w:val="000000"/>
          <w:lang w:val="en-US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Контактное лицо Заказчика: Рябова Яна Анатольевна.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1276"/>
        <w:jc w:val="both"/>
        <w:tabs>
          <w:tab w:val="left" w:pos="142" w:leader="none"/>
          <w:tab w:val="center" w:pos="1134" w:leader="none"/>
        </w:tabs>
        <w:rPr>
          <w:rFonts w:eastAsia="Calibri"/>
          <w:lang w:val="en-US"/>
        </w:rPr>
      </w:pPr>
      <w:r>
        <w:rPr>
          <w:rFonts w:eastAsia="Calibri"/>
        </w:rPr>
        <w:tab/>
      </w:r>
      <w:r>
        <w:rPr>
          <w:rFonts w:eastAsia="Calibri"/>
          <w:lang w:val="en-US"/>
        </w:rPr>
        <w:t xml:space="preserve">E-mail: RyabovaYA@rossetimr.ru</w:t>
      </w:r>
      <w:r>
        <w:rPr>
          <w:rFonts w:eastAsia="Calibri"/>
          <w:lang w:val="en-US"/>
        </w:rPr>
      </w:r>
      <w:r>
        <w:rPr>
          <w:rFonts w:eastAsia="Calibri"/>
          <w:lang w:val="en-US"/>
        </w:rPr>
      </w:r>
    </w:p>
    <w:p>
      <w:pPr>
        <w:pStyle w:val="1276"/>
        <w:jc w:val="both"/>
        <w:tabs>
          <w:tab w:val="left" w:pos="142" w:leader="none"/>
          <w:tab w:val="left" w:pos="851" w:leader="none"/>
          <w:tab w:val="center" w:pos="1134" w:leader="none"/>
        </w:tabs>
        <w:rPr>
          <w:rFonts w:eastAsia="Calibri"/>
          <w:i/>
          <w:lang w:val="en-US"/>
        </w:rPr>
      </w:pPr>
      <w:r>
        <w:rPr>
          <w:rFonts w:eastAsia="Calibri"/>
          <w:lang w:val="en-US"/>
        </w:rPr>
        <w:tab/>
      </w:r>
      <w:r>
        <w:rPr>
          <w:rFonts w:eastAsia="Calibri"/>
        </w:rPr>
        <w:t xml:space="preserve">Тел</w:t>
      </w:r>
      <w:r>
        <w:rPr>
          <w:rFonts w:eastAsia="Calibri"/>
          <w:lang w:val="en-US"/>
        </w:rPr>
        <w:t xml:space="preserve">.: </w:t>
      </w:r>
      <w:r>
        <w:rPr>
          <w:rFonts w:eastAsia="Calibri"/>
          <w:color w:val="000000"/>
          <w:lang w:val="en-US"/>
        </w:rPr>
        <w:t xml:space="preserve">(495) 525-73-00 </w:t>
      </w:r>
      <w:r>
        <w:rPr>
          <w:rFonts w:eastAsia="Calibri"/>
          <w:i/>
          <w:lang w:val="en-US"/>
        </w:rPr>
      </w:r>
      <w:r>
        <w:rPr>
          <w:rFonts w:eastAsia="Calibri"/>
          <w:i/>
          <w:lang w:val="en-US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  <w:bCs/>
          <w:spacing w:val="-2"/>
        </w:rPr>
      </w:pPr>
      <w:r>
        <w:rPr>
          <w:b/>
          <w:bCs/>
        </w:rPr>
        <w:t xml:space="preserve">Предмет договора с указанием места и количества поставляемого товара, объема выполняемой работы, оказываемой услуги</w:t>
      </w:r>
      <w:r>
        <w:rPr>
          <w:b/>
          <w:bCs/>
        </w:rPr>
        <w:t xml:space="preserve">:</w:t>
      </w:r>
      <w:r>
        <w:rPr>
          <w:b/>
          <w:spacing w:val="-2"/>
        </w:rPr>
        <w:t xml:space="preserve"> </w:t>
      </w:r>
      <w:r>
        <w:rPr>
          <w:spacing w:val="-2"/>
        </w:rPr>
        <w:t xml:space="preserve"> </w:t>
      </w:r>
      <w:r>
        <w:rPr>
          <w:b/>
          <w:spacing w:val="-2"/>
        </w:rPr>
        <w:t xml:space="preserve">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tbl>
      <w:tblPr>
        <w:tblStyle w:val="1132"/>
        <w:tblW w:w="0" w:type="auto"/>
        <w:tblLook w:val="04A0" w:firstRow="1" w:lastRow="0" w:firstColumn="1" w:lastColumn="0" w:noHBand="0" w:noVBand="1"/>
      </w:tblPr>
      <w:tblGrid>
        <w:gridCol w:w="2258"/>
        <w:gridCol w:w="3863"/>
        <w:gridCol w:w="1238"/>
        <w:gridCol w:w="1028"/>
        <w:gridCol w:w="1028"/>
        <w:gridCol w:w="1028"/>
        <w:gridCol w:w="2438"/>
        <w:gridCol w:w="1028"/>
        <w:gridCol w:w="1583"/>
      </w:tblGrid>
      <w:tr>
        <w:tblPrEx/>
        <w:trPr>
          <w:trHeight w:val="525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49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Выполнение технического обслуживания ТП №1681 с 2-мя трансформаторами по 400 кВА и ТП № 1680 с 2-мя трансформаторами по 400 кВА на объекте, расположенном по адресу: 143581, Московская область, г. Истра, д. Аносино, коттеджный поселок «Грин Хилл», ул. Тенист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  <w:t xml:space="preserve">ая, здание 2Б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согласно требованиям Технического задан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ия (далее -ТЗ)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</w:pPr>
      <w:r>
        <w:rPr>
          <w:b/>
          <w:spacing w:val="-2"/>
        </w:rPr>
      </w:r>
      <w:r>
        <w:rPr>
          <w:b/>
          <w:spacing w:val="-2"/>
        </w:rPr>
        <w:t xml:space="preserve">. </w:t>
      </w:r>
      <w:r>
        <w:t xml:space="preserve">Более подробн</w:t>
      </w:r>
      <w:r>
        <w:t xml:space="preserve">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>
        <w:rPr>
          <w:color w:val="000000"/>
        </w:rPr>
        <w:t xml:space="preserve"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>
        <w:t xml:space="preserve"> неотъемлемой частью настоящего Приглашения.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rPr>
          <w:b/>
        </w:rPr>
        <w:t xml:space="preserve">Сведения о начальной (максимальной) цене договора (цена лота)</w:t>
      </w:r>
      <w:r>
        <w:rPr>
          <w:rFonts w:eastAsia="Calibri"/>
          <w:b/>
        </w:rPr>
        <w:t xml:space="preserve"> - НМЦ</w:t>
      </w:r>
      <w:r/>
    </w:p>
    <w:p>
      <w:pPr>
        <w:jc w:val="both"/>
        <w:rPr>
          <w:b/>
          <w:bCs/>
        </w:rPr>
      </w:pPr>
      <w:r>
        <w:rPr>
          <w:b/>
        </w:rPr>
        <w:t xml:space="preserve">Начальная (максимальная) цена договора составляет 274 000,00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u w:val="non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в т.ч. НДС 2</w:t>
      </w:r>
      <w:r>
        <w:rPr>
          <w:b/>
          <w:u w:val="single"/>
        </w:rPr>
        <w:t xml:space="preserve">2</w:t>
      </w:r>
      <w:r>
        <w:rPr>
          <w:b/>
          <w:u w:val="single"/>
        </w:rPr>
        <w:t xml:space="preserve">%</w:t>
      </w:r>
      <w:r>
        <w:t xml:space="preserve">, и включает в себя все расходы участника, связанные с реализацией его заявки, в том числе все виды налогов, сборов и иных платежей.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ind w:firstLine="567"/>
        <w:jc w:val="both"/>
      </w:pPr>
      <w:r>
        <w:rPr>
          <w:b/>
        </w:rPr>
        <w:t xml:space="preserve">Цена неизменна.</w:t>
      </w:r>
      <w:r>
        <w:t xml:space="preserve"> НМЦ закупки не может быть снижена в заявке Участника закупки, снижение применяется только к стоимости единичных расценок </w:t>
      </w:r>
      <w:r>
        <w:rPr>
          <w:color w:val="000000"/>
        </w:rPr>
        <w:t xml:space="preserve">при неизменной НМЦ.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Порядок подачи, изменения и отзыва заявок участников.</w:t>
      </w:r>
      <w:r/>
    </w:p>
    <w:p>
      <w:pPr>
        <w:pStyle w:val="1276"/>
        <w:numPr>
          <w:ilvl w:val="1"/>
          <w:numId w:val="8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электронной форме 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при проведении закупки в неэлектронной форме участник закупки подает заявку на электронный адрес контактного лица Заказчика, указанного в п. 1.2. настоящего Приглашения;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вправе подать только одну заявку;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закупки, подавший заявку, вправе изменить или отозвать заявку в любое время до момента окончания срока подачи заявок;</w:t>
      </w:r>
      <w:r/>
    </w:p>
    <w:p>
      <w:pPr>
        <w:pStyle w:val="1276"/>
        <w:numPr>
          <w:ilvl w:val="1"/>
          <w:numId w:val="9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Сроки проведения этапов закупки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начала срока подачи заявок: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i/>
          <w:color w:val="000000"/>
        </w:rPr>
        <w:t xml:space="preserve">«09</w:t>
      </w:r>
      <w:r>
        <w:rPr>
          <w:i/>
          <w:color w:val="000000"/>
        </w:rPr>
        <w:t xml:space="preserve">»</w:t>
      </w:r>
      <w:r>
        <w:rPr>
          <w:i/>
          <w:color w:val="000000"/>
        </w:rPr>
        <w:t xml:space="preserve"> сентября</w:t>
      </w:r>
      <w:r>
        <w:rPr>
          <w:i/>
          <w:color w:val="000000"/>
        </w:rPr>
        <w:t xml:space="preserve"> </w:t>
      </w:r>
      <w:r>
        <w:rPr>
          <w:i/>
          <w:color w:val="000000"/>
        </w:rPr>
        <w:t xml:space="preserve">202</w:t>
      </w:r>
      <w:r>
        <w:rPr>
          <w:i/>
          <w:color w:val="000000"/>
        </w:rPr>
        <w:t xml:space="preserve">6</w:t>
      </w:r>
      <w:r>
        <w:rPr>
          <w:i/>
          <w:color w:val="000000"/>
        </w:rPr>
        <w:t xml:space="preserve"> года</w:t>
      </w:r>
      <w:r>
        <w:rPr>
          <w:color w:val="000000"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b/>
          <w:color w:val="000000"/>
        </w:rPr>
        <w:t xml:space="preserve">Дата и время окончания срока, последний день срока подачи заявок</w:t>
      </w:r>
      <w:r>
        <w:rPr>
          <w:color w:val="000000"/>
        </w:rPr>
        <w:t xml:space="preserve">: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ind w:firstLine="567"/>
        <w:jc w:val="both"/>
        <w:tabs>
          <w:tab w:val="left" w:pos="142" w:leader="none"/>
          <w:tab w:val="center" w:pos="1134" w:leader="none"/>
        </w:tabs>
        <w:rPr>
          <w:i/>
          <w:color w:val="000000"/>
        </w:rPr>
      </w:pPr>
      <w:r>
        <w:rPr>
          <w:i/>
          <w:color w:val="000000"/>
        </w:rPr>
        <w:t xml:space="preserve">«11</w:t>
      </w:r>
      <w:r>
        <w:rPr>
          <w:i/>
          <w:color w:val="000000"/>
        </w:rPr>
        <w:t xml:space="preserve">» сентября</w:t>
      </w:r>
      <w:r>
        <w:rPr>
          <w:i/>
          <w:color w:val="000000"/>
        </w:rPr>
        <w:t xml:space="preserve"> 202</w:t>
      </w:r>
      <w:r>
        <w:rPr>
          <w:i/>
          <w:color w:val="000000"/>
        </w:rPr>
        <w:t xml:space="preserve">6 </w:t>
      </w:r>
      <w:r>
        <w:rPr>
          <w:i/>
          <w:color w:val="000000"/>
        </w:rPr>
        <w:t xml:space="preserve">года 08</w:t>
      </w:r>
      <w:r>
        <w:rPr>
          <w:i/>
          <w:color w:val="000000"/>
        </w:rPr>
        <w:t xml:space="preserve">:00 (время московское)</w:t>
      </w:r>
      <w:r>
        <w:rPr>
          <w:i/>
          <w:color w:val="000000"/>
        </w:rPr>
      </w:r>
      <w:r>
        <w:rPr>
          <w:i/>
          <w:color w:val="000000"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" w:name="_Ref468097559"/>
      <w:r>
        <w:rPr>
          <w:b/>
        </w:rPr>
        <w:t xml:space="preserve">Применение </w:t>
      </w:r>
      <w:bookmarkEnd w:id="1"/>
      <w:r>
        <w:rPr>
          <w:b/>
        </w:rPr>
        <w:t xml:space="preserve">преференций</w:t>
      </w:r>
      <w:r>
        <w:rPr>
          <w:b/>
        </w:rPr>
      </w:r>
      <w:r>
        <w:rPr>
          <w:b/>
        </w:rPr>
      </w:r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bookmarkStart w:id="2" w:name="_Ref30949088"/>
      <w:r/>
      <w:bookmarkEnd w:id="2"/>
      <w:r>
        <w:rPr>
          <w:sz w:val="24"/>
          <w:szCs w:val="24"/>
        </w:rPr>
        <w:t xml:space="preserve">1.6.1. При проведении закупки способом сравнения цен </w:t>
      </w:r>
      <w:r>
        <w:rPr>
          <w:sz w:val="24"/>
          <w:szCs w:val="24"/>
        </w:rPr>
        <w:t xml:space="preserve">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</w:t>
      </w:r>
      <w:r>
        <w:rPr>
          <w:sz w:val="24"/>
          <w:szCs w:val="24"/>
        </w:rPr>
        <w:t xml:space="preserve">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1276" w:leader="none"/>
        </w:tabs>
      </w:pPr>
      <w:r>
        <w:rPr>
          <w:sz w:val="24"/>
          <w:szCs w:val="24"/>
        </w:rPr>
        <w:t xml:space="preserve">          1.6.2. При осуществлении закупок устанавливается национальный режим, обеспечивающий происходящему из иностранного госуда</w:t>
      </w:r>
      <w:r>
        <w:rPr>
          <w:sz w:val="24"/>
          <w:szCs w:val="24"/>
        </w:rPr>
        <w:t xml:space="preserve">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  <w:r/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ограничение закупок товаров (в том числе поставляемых при </w:t>
      </w:r>
      <w:r>
        <w:rPr>
          <w:sz w:val="24"/>
          <w:szCs w:val="24"/>
        </w:rPr>
        <w:t xml:space="preserve">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3"/>
        </w:numPr>
        <w:ind w:left="0" w:firstLine="567"/>
        <w:spacing w:line="240" w:lineRule="auto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0" w:leader="none"/>
        </w:tabs>
      </w:pPr>
      <w:r>
        <w:rPr>
          <w:sz w:val="24"/>
          <w:szCs w:val="24"/>
        </w:rPr>
        <w:t xml:space="preserve">    1.6.3. Если иное не предусмотрено мерами, приня</w:t>
      </w:r>
      <w:r>
        <w:rPr>
          <w:sz w:val="24"/>
          <w:szCs w:val="24"/>
        </w:rPr>
        <w:t xml:space="preserve">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</w:t>
      </w:r>
      <w:r>
        <w:rPr>
          <w:sz w:val="24"/>
          <w:szCs w:val="24"/>
        </w:rPr>
        <w:t xml:space="preserve">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  <w:r/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поставку такого товара; 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spacing w:line="240" w:lineRule="auto"/>
        <w:widowControl w:val="off"/>
        <w:tabs>
          <w:tab w:val="left" w:pos="0" w:leader="none"/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а) заключение договора на поставку товара, происходящего из иностранного государства,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 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315"/>
        <w:numPr>
          <w:ilvl w:val="2"/>
          <w:numId w:val="4"/>
        </w:numPr>
        <w:ind w:left="0" w:firstLine="567"/>
        <w:keepLines/>
        <w:spacing w:line="240" w:lineRule="auto"/>
        <w:widowControl w:val="off"/>
        <w:tabs>
          <w:tab w:val="left" w:pos="709" w:leader="none"/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   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</w:t>
      </w:r>
      <w:r>
        <w:rPr>
          <w:sz w:val="24"/>
          <w:szCs w:val="24"/>
        </w:rPr>
        <w:t xml:space="preserve">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</w:pPr>
      <w:r>
        <w:rPr>
          <w:bCs/>
          <w:sz w:val="24"/>
          <w:szCs w:val="24"/>
        </w:rPr>
        <w:t xml:space="preserve">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/>
    </w:p>
    <w:p>
      <w:pPr>
        <w:pStyle w:val="1315"/>
        <w:numPr>
          <w:ilvl w:val="0"/>
          <w:numId w:val="0"/>
        </w:numPr>
        <w:keepLines/>
        <w:spacing w:line="240" w:lineRule="auto"/>
        <w:widowControl w:val="off"/>
        <w:tabs>
          <w:tab w:val="left" w:pos="709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315"/>
        <w:numPr>
          <w:ilvl w:val="0"/>
          <w:numId w:val="0"/>
        </w:numPr>
        <w:spacing w:line="240" w:lineRule="auto"/>
        <w:widowControl w:val="off"/>
        <w:tabs>
          <w:tab w:val="left" w:pos="709" w:leader="none"/>
          <w:tab w:val="left" w:pos="1620" w:leader="none"/>
        </w:tabs>
      </w:pPr>
      <w:r>
        <w:rPr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  <w:r/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б) перемена подрядчика (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</w:pPr>
      <w:r>
        <w:rPr>
          <w:sz w:val="24"/>
          <w:szCs w:val="24"/>
        </w:rPr>
        <w:t xml:space="preserve">  а) заключение д</w:t>
      </w:r>
      <w:r>
        <w:rPr>
          <w:sz w:val="24"/>
          <w:szCs w:val="24"/>
        </w:rPr>
        <w:t xml:space="preserve">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  <w:r/>
    </w:p>
    <w:p>
      <w:pPr>
        <w:pStyle w:val="1314"/>
        <w:numPr>
          <w:ilvl w:val="0"/>
          <w:numId w:val="0"/>
        </w:numPr>
        <w:keepLines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б) перемена подрядчика (исполнителя) (в случае, если эта перем</w:t>
      </w:r>
      <w:r>
        <w:rPr>
          <w:sz w:val="24"/>
          <w:szCs w:val="24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315"/>
        <w:numPr>
          <w:ilvl w:val="2"/>
          <w:numId w:val="5"/>
        </w:numPr>
        <w:ind w:left="0" w:firstLine="567"/>
        <w:spacing w:line="240" w:lineRule="auto"/>
        <w:widowControl w:val="off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79"/>
        <w:ind w:firstLine="567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при рассмотрении, оценке, сопоставлении заявок на участие в закупке способом сравнения цен, осуществляется снижение на 15 (пятнадцать) % (процентов) ценового предлож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/>
    </w:p>
    <w:p>
      <w:pPr>
        <w:pStyle w:val="1279"/>
        <w:jc w:val="both"/>
        <w:keepLines/>
        <w:spacing w:before="0" w:after="0"/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/>
    </w:p>
    <w:p>
      <w:pPr>
        <w:pStyle w:val="1314"/>
        <w:numPr>
          <w:ilvl w:val="0"/>
          <w:numId w:val="0"/>
        </w:numPr>
        <w:spacing w:line="240" w:lineRule="auto"/>
        <w:tabs>
          <w:tab w:val="left" w:pos="851" w:leader="none"/>
        </w:tabs>
      </w:pPr>
      <w:r>
        <w:rPr>
          <w:sz w:val="24"/>
          <w:szCs w:val="24"/>
        </w:rPr>
        <w:t xml:space="preserve">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outlineLvl w:val="1"/>
      </w:pPr>
      <w:r>
        <w:t xml:space="preserve"> 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  <w:r/>
    </w:p>
    <w:p>
      <w:pPr>
        <w:pStyle w:val="1276"/>
        <w:jc w:val="both"/>
        <w:keepNext/>
        <w:tabs>
          <w:tab w:val="left" w:pos="142" w:leader="none"/>
          <w:tab w:val="center" w:pos="1134" w:leader="none"/>
        </w:tabs>
        <w:outlineLvl w:val="1"/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outlineLvl w:val="0"/>
      </w:pPr>
      <w:r>
        <w:t xml:space="preserve">ТРЕБОВАНИЯ К СВЕДЕНИЯМ И ДОКУМЕНТАМ, ПРЕДСТАВЛЯЕМЫМ В СОСТАВЕ ЗАЯВКИ УЧАСТНИКА ЗАКУПКИ, ТРЕБОВАНИЯ К УЧАСТНИКАМ ЗАКУПКИ, ПОДАЧЕ ЗАЯВКИ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3" w:name="_Toc5718770"/>
      <w:r>
        <w:rPr>
          <w:b/>
        </w:rPr>
        <w:t xml:space="preserve">Требования к оформлению заявки </w:t>
      </w:r>
      <w:bookmarkEnd w:id="3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4" w:name="_Ref166246797"/>
      <w: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>
        <w:t xml:space="preserve"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>
        <w:t xml:space="preserve"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>
        <w:t xml:space="preserve"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</w:t>
      </w:r>
      <w:r>
        <w:rPr>
          <w:bCs/>
        </w:rPr>
        <w:t xml:space="preserve">закупки </w:t>
      </w:r>
      <w:r>
        <w:t xml:space="preserve">готовит заявку на участие в закупке в соответствии с требованиями разде</w:t>
      </w:r>
      <w:r>
        <w:t xml:space="preserve">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4"/>
      <w: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rFonts w:eastAsia="Calibri"/>
        </w:rPr>
        <w:t xml:space="preserve">При проведении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</w:t>
      </w:r>
      <w:r>
        <w:t xml:space="preserve">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Сведения, которые содержатся в заявках участников </w:t>
      </w:r>
      <w:r>
        <w:rPr>
          <w:bCs/>
        </w:rPr>
        <w:t xml:space="preserve">закупки</w:t>
      </w:r>
      <w:r>
        <w:t xml:space="preserve">, не должны допускать двусмысленных толкований.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5" w:name="_Ref11475563"/>
      <w:r>
        <w:t xml:space="preserve">Если в документах, входящих в состав заявки, </w:t>
      </w:r>
      <w:bookmarkEnd w:id="5"/>
      <w:r>
        <w:t xml:space="preserve">имеются расхождения между обозначением сумм прописью и цифрами, то принимается к рассмотрению сумма, указанная прописью.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</w:t>
      </w:r>
      <w:r>
        <w:t xml:space="preserve">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</w:t>
      </w:r>
      <w:r>
        <w:t xml:space="preserve">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</w:t>
      </w:r>
      <w:r>
        <w:t xml:space="preserve">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обеспечивает разумную конфиденциальность относительно всех полученных от участников закупк</w:t>
      </w:r>
      <w: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Инструкции по заполнению форм настоящего приглашения к участию в закупке сп</w:t>
      </w:r>
      <w:r>
        <w:t xml:space="preserve">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6" w:name="_Toc5718771"/>
      <w:r/>
      <w:bookmarkStart w:id="7" w:name="_Toc387652312"/>
      <w:r/>
      <w:bookmarkStart w:id="8" w:name="_Toc123405469"/>
      <w:r>
        <w:rPr>
          <w:b/>
        </w:rPr>
        <w:t xml:space="preserve">Язык документов, входящих в состав заявки </w:t>
      </w:r>
      <w:bookmarkEnd w:id="6"/>
      <w:r/>
      <w:bookmarkEnd w:id="7"/>
      <w:r/>
      <w:bookmarkEnd w:id="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должна быть подготовлена на русском языке за исключением нижеследующего.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t xml:space="preserve">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9" w:name="_Toc51811927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rPr>
          <w:bCs/>
        </w:rPr>
        <w:t xml:space="preserve">Рассмотрению не подлежат документы, не переведенные на русский язык</w:t>
      </w:r>
      <w:r>
        <w:t xml:space="preserve">. </w:t>
      </w:r>
      <w:bookmarkEnd w:id="9"/>
      <w:r/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0" w:name="_Toc5718772"/>
      <w:r>
        <w:rPr>
          <w:b/>
        </w:rPr>
        <w:t xml:space="preserve">Требования к валюте </w:t>
      </w:r>
      <w:bookmarkEnd w:id="10"/>
      <w:r>
        <w:rPr>
          <w:b/>
        </w:rPr>
        <w:t xml:space="preserve">заявки</w:t>
      </w:r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1" w:name="_Hlt517806775"/>
      <w:r/>
      <w:bookmarkEnd w:id="11"/>
      <w:r/>
      <w:bookmarkStart w:id="12" w:name="_Ref52534291"/>
      <w:r>
        <w:t xml:space="preserve"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12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3" w:name="_Toc518119275"/>
      <w: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</w:t>
      </w:r>
      <w:r>
        <w:t xml:space="preserve">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13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14" w:name="_Ref119430333"/>
      <w:r/>
      <w:bookmarkStart w:id="15" w:name="_Ref119429784"/>
      <w:r/>
      <w:bookmarkStart w:id="16" w:name="_Toc5718773"/>
      <w:r/>
      <w:bookmarkStart w:id="17" w:name="_Ref119429817"/>
      <w:r/>
      <w:bookmarkStart w:id="18" w:name="_Toc123405470"/>
      <w:r>
        <w:rPr>
          <w:b/>
        </w:rPr>
        <w:t xml:space="preserve">Требования к составу заявки </w:t>
      </w:r>
      <w:bookmarkEnd w:id="14"/>
      <w:r/>
      <w:bookmarkEnd w:id="15"/>
      <w:r/>
      <w:bookmarkEnd w:id="16"/>
      <w:r/>
      <w:bookmarkEnd w:id="17"/>
      <w:r/>
      <w:bookmarkEnd w:id="18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19" w:name="_Ref166243143"/>
      <w:r>
        <w:t xml:space="preserve">Заявка на участие должна содержать сведения и документы, указанные в </w:t>
      </w:r>
      <w:bookmarkEnd w:id="19"/>
      <w:r>
        <w:rPr>
          <w:bCs/>
        </w:rPr>
        <w:t xml:space="preserve">настоящем приглашении</w:t>
      </w:r>
      <w:r>
        <w:t xml:space="preserve">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0" w:name="_Ref166316209"/>
      <w:r>
        <w:t xml:space="preserve"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20"/>
      <w:r/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Помимо сведений и документов, установле</w:t>
      </w:r>
      <w:r>
        <w:t xml:space="preserve">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</w:rPr>
        <w:outlineLvl w:val="1"/>
      </w:pPr>
      <w:r/>
      <w:bookmarkStart w:id="21" w:name="_Toc286523204"/>
      <w:r/>
      <w:bookmarkEnd w:id="21"/>
      <w:r/>
      <w:bookmarkStart w:id="22" w:name="_Toc123405471"/>
      <w:r/>
      <w:bookmarkEnd w:id="22"/>
      <w:r/>
      <w:bookmarkStart w:id="23" w:name="_Toc123405472"/>
      <w:r/>
      <w:bookmarkStart w:id="24" w:name="_Toc5718774"/>
      <w:r>
        <w:rPr>
          <w:b/>
        </w:rPr>
        <w:t xml:space="preserve">Требования к описанию </w:t>
      </w:r>
      <w:bookmarkEnd w:id="23"/>
      <w:r>
        <w:rPr>
          <w:b/>
        </w:rPr>
        <w:t xml:space="preserve">заявки участника закупки</w:t>
      </w:r>
      <w:bookmarkEnd w:id="24"/>
      <w:r>
        <w:rPr>
          <w:b/>
        </w:rPr>
      </w:r>
      <w:r>
        <w:rPr>
          <w:b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/>
      <w:bookmarkStart w:id="25" w:name="_Toc286523204_Копия_1"/>
      <w:r/>
      <w:bookmarkEnd w:id="25"/>
      <w:r/>
      <w:bookmarkStart w:id="26" w:name="_Toc123405471_Копия_1"/>
      <w:r/>
      <w:bookmarkEnd w:id="26"/>
      <w:r>
        <w:t xml:space="preserve">Цена договора, предлагаемая участником зак</w:t>
      </w:r>
      <w:r>
        <w:t xml:space="preserve">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r>
        <w:t xml:space="preserve">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</w:t>
      </w:r>
      <w:r>
        <w:t xml:space="preserve">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 xml:space="preserve">заявка участника не должна превышать единичные расценки либо отдельные стоимостные позиции соответственно.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Цена договора должна включать </w:t>
      </w:r>
      <w:r>
        <w:rPr>
          <w:rFonts w:eastAsia="Calibri"/>
          <w:bCs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t xml:space="preserve">, если иное не установлено приглашением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должен принять во внимание, что, если иное не установлено приглашением </w:t>
      </w:r>
      <w:r>
        <w:t xml:space="preserve">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</w:t>
      </w:r>
      <w:r>
        <w:t xml:space="preserve">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  <w:r/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 xml:space="preserve"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color w:val="000000"/>
        </w:rPr>
      </w:pPr>
      <w:r>
        <w:rPr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</w:t>
      </w:r>
      <w:r>
        <w:rPr>
          <w:color w:val="000000"/>
        </w:rPr>
        <w:t xml:space="preserve">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  <w:r>
        <w:rPr>
          <w:color w:val="000000"/>
        </w:rPr>
      </w:r>
      <w:r>
        <w:rPr>
          <w:color w:val="000000"/>
        </w:rPr>
      </w:r>
    </w:p>
    <w:p>
      <w:pPr>
        <w:pStyle w:val="1276"/>
        <w:numPr>
          <w:ilvl w:val="2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  <w:rPr>
          <w:b/>
          <w:bCs/>
        </w:rPr>
      </w:pPr>
      <w:r>
        <w:rPr>
          <w:color w:val="000000"/>
        </w:rPr>
        <w:t xml:space="preserve">При описании продукции участник процедуры закупки должен использовать общеизвестные (стандартные</w:t>
      </w:r>
      <w:r>
        <w:t xml:space="preserve">) показатели, термины и сокращения в соответствии с законодательством и требованиями настоящего приглашения.</w:t>
      </w:r>
      <w:r>
        <w:rPr>
          <w:b/>
          <w:bCs/>
        </w:rPr>
      </w:r>
      <w:r>
        <w:rPr>
          <w:b/>
          <w:bCs/>
        </w:rPr>
      </w:r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Участники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2.6.1.</w:t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keepNext/>
        <w:tabs>
          <w:tab w:val="left" w:pos="142" w:leader="none"/>
          <w:tab w:val="center" w:pos="1134" w:leader="none"/>
        </w:tabs>
        <w:rPr>
          <w:b/>
        </w:rPr>
        <w:outlineLvl w:val="1"/>
      </w:pPr>
      <w:r>
        <w:rPr>
          <w:b/>
        </w:rPr>
        <w:t xml:space="preserve">Требования к участникам закупки</w:t>
      </w:r>
      <w:r>
        <w:rPr>
          <w:b/>
        </w:rPr>
      </w:r>
      <w:r>
        <w:rPr>
          <w:b/>
        </w:rPr>
      </w:r>
    </w:p>
    <w:p>
      <w:pPr>
        <w:pStyle w:val="1276"/>
        <w:ind w:firstLine="567"/>
        <w:jc w:val="both"/>
        <w:tabs>
          <w:tab w:val="left" w:pos="142" w:leader="none"/>
          <w:tab w:val="left" w:pos="709" w:leader="none"/>
          <w:tab w:val="left" w:pos="851" w:leader="none"/>
          <w:tab w:val="center" w:pos="1134" w:leader="none"/>
        </w:tabs>
      </w:pPr>
      <w:r>
        <w:t xml:space="preserve">2.7.1.</w:t>
        <w:tab/>
        <w:t xml:space="preserve">Чтобы претендовать на победу в закупке и получения права заключить договор, участник закупки должен отвечать следующим требованиям:</w:t>
      </w:r>
      <w:r/>
    </w:p>
    <w:p>
      <w:pPr>
        <w:pStyle w:val="1276"/>
        <w:numPr>
          <w:ilvl w:val="0"/>
          <w:numId w:val="10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11"/>
        </w:numPr>
        <w:ind w:left="0" w:firstLine="567"/>
        <w:jc w:val="both"/>
        <w:tabs>
          <w:tab w:val="left" w:pos="142" w:leader="none"/>
          <w:tab w:val="left" w:pos="851" w:leader="none"/>
        </w:tabs>
        <w:rPr>
          <w:bCs/>
          <w:color w:val="000000"/>
        </w:rPr>
      </w:pPr>
      <w:r>
        <w:rPr>
          <w:bCs/>
        </w:rPr>
        <w:t xml:space="preserve">не </w:t>
      </w:r>
      <w:r>
        <w:rPr>
          <w:bCs/>
          <w:color w:val="000000"/>
        </w:rPr>
        <w:t xml:space="preserve">должен находиться в процессе ликвидации; должно отсутствовать вступившее в законную силу решение арбитраж</w:t>
      </w:r>
      <w:r>
        <w:rPr>
          <w:bCs/>
          <w:color w:val="000000"/>
        </w:rPr>
        <w:t xml:space="preserve">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 не должна быть приостановлена</w:t>
      </w:r>
      <w:r>
        <w:rPr>
          <w:rStyle w:val="1294"/>
          <w:bCs/>
          <w:color w:val="000000"/>
        </w:rPr>
        <w:footnoteReference w:id="2"/>
      </w:r>
      <w:r>
        <w:rPr>
          <w:bCs/>
          <w:color w:val="000000"/>
        </w:rPr>
        <w:t xml:space="preserve">(для юридического лица, индивидуального предпринимателя);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t xml:space="preserve">2.7.2.</w:t>
      </w:r>
      <w:r>
        <w:rPr>
          <w:bCs/>
        </w:rPr>
        <w:t xml:space="preserve"> Дополнительно к требованиям пункта 2.7.1. </w:t>
      </w:r>
      <w: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>
        <w:rPr>
          <w:bCs/>
        </w:rPr>
        <w:t xml:space="preserve">требованиями: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tabs>
          <w:tab w:val="left" w:pos="0" w:leader="none"/>
          <w:tab w:val="left" w:pos="851" w:leader="none"/>
        </w:tabs>
        <w:rPr>
          <w:bCs/>
        </w:rPr>
      </w:pPr>
      <w:r>
        <w:rPr>
          <w:bCs/>
        </w:rPr>
        <w:t xml:space="preserve">а) т</w:t>
      </w:r>
      <w:r>
        <w:rPr>
          <w:bCs/>
          <w:szCs w:val="16"/>
        </w:rPr>
        <w:t xml:space="preserve">олько для закупок с  наличием в предмете закупки проект</w:t>
      </w:r>
      <w:r>
        <w:rPr>
          <w:bCs/>
          <w:szCs w:val="16"/>
        </w:rPr>
        <w:t xml:space="preserve">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</w:t>
      </w:r>
      <w:r>
        <w:rPr>
          <w:bCs/>
          <w:szCs w:val="16"/>
        </w:rPr>
        <w:t xml:space="preserve">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</w:t>
      </w:r>
      <w:r>
        <w:rPr>
          <w:bCs/>
          <w:szCs w:val="16"/>
        </w:rPr>
        <w:t xml:space="preserve">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294"/>
          <w:b/>
          <w:bCs/>
          <w:szCs w:val="16"/>
        </w:rPr>
        <w:footnoteReference w:id="3"/>
      </w:r>
      <w:r>
        <w:rPr>
          <w:bCs/>
          <w:szCs w:val="16"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  <w:szCs w:val="16"/>
        </w:rPr>
        <w:outlineLvl w:val="0"/>
      </w:pPr>
      <w:r>
        <w:rPr>
          <w:bCs/>
        </w:rPr>
        <w:t xml:space="preserve">б) н</w:t>
      </w:r>
      <w:r>
        <w:rPr>
          <w:bCs/>
          <w:szCs w:val="16"/>
        </w:rPr>
        <w:t xml:space="preserve">аличие документов по охране труда в соответствии с Приказом Минтруда России от 15.12.2020 N 903н "Об утверждении Правил по о</w:t>
      </w:r>
      <w:r>
        <w:rPr>
          <w:bCs/>
          <w:szCs w:val="16"/>
        </w:rPr>
        <w:t xml:space="preserve">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  <w:r>
        <w:rPr>
          <w:bCs/>
          <w:szCs w:val="16"/>
        </w:rPr>
      </w:r>
      <w:r>
        <w:rPr>
          <w:bCs/>
          <w:szCs w:val="16"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в) с</w:t>
      </w:r>
      <w:r>
        <w:rPr>
          <w:bCs/>
        </w:rPr>
        <w:t xml:space="preserve"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294"/>
          <w:b/>
          <w:bCs/>
        </w:rPr>
        <w:footnoteReference w:id="4"/>
      </w:r>
      <w:r>
        <w:rPr>
          <w:bCs/>
        </w:rPr>
        <w:t xml:space="preserve"> и требованиям по порядку формирования договорной цены. Непревышение ценовых лимитов ТЗ;</w:t>
      </w:r>
      <w:r>
        <w:rPr>
          <w:bCs/>
        </w:rPr>
      </w:r>
      <w:r>
        <w:rPr>
          <w:bCs/>
        </w:rPr>
      </w:r>
    </w:p>
    <w:p>
      <w:pPr>
        <w:pStyle w:val="1276"/>
        <w:ind w:firstLine="567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  <w:szCs w:val="16"/>
        </w:rPr>
        <w:t xml:space="preserve">г) с</w:t>
      </w:r>
      <w:r>
        <w:rPr>
          <w:bCs/>
        </w:rPr>
        <w:t xml:space="preserve">оответствие сроков выполнения работ требованиям ТЗ;</w:t>
      </w:r>
      <w:r>
        <w:rPr>
          <w:bCs/>
        </w:rPr>
      </w:r>
      <w:r>
        <w:rPr>
          <w:bCs/>
        </w:rPr>
      </w:r>
    </w:p>
    <w:p>
      <w:pPr>
        <w:pStyle w:val="1276"/>
        <w:ind w:left="720" w:hanging="153"/>
        <w:jc w:val="both"/>
        <w:keepLines/>
        <w:keepNext/>
        <w:widowControl w:val="off"/>
        <w:tabs>
          <w:tab w:val="left" w:pos="250" w:leader="none"/>
        </w:tabs>
        <w:rPr>
          <w:bCs/>
        </w:rPr>
        <w:outlineLvl w:val="0"/>
      </w:pPr>
      <w:r>
        <w:rPr>
          <w:bCs/>
        </w:rPr>
        <w:t xml:space="preserve">д) соответствие условий оплаты требованиям ТЗ.</w:t>
      </w:r>
      <w:r>
        <w:rPr>
          <w:bCs/>
        </w:rPr>
      </w:r>
      <w:r>
        <w:rPr>
          <w:bCs/>
        </w:rPr>
      </w:r>
    </w:p>
    <w:p>
      <w:pPr>
        <w:pStyle w:val="1276"/>
        <w:jc w:val="both"/>
        <w:tabs>
          <w:tab w:val="left" w:pos="142" w:leader="none"/>
          <w:tab w:val="left" w:pos="851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ПРОВЕДЕНИЯ ЗАКУПКИ (ЭТАПОВ ЗАКУПКИ), ПОДВЕДЕНИЯ ИТОГОВ ЗАКУПКИ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</w:t>
      </w:r>
      <w:r>
        <w:t xml:space="preserve">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Интернет.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</w:t>
      </w:r>
      <w:r>
        <w:t xml:space="preserve">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подлежит отклонению в случаях, если:</w:t>
      </w:r>
      <w:r/>
    </w:p>
    <w:p>
      <w:pPr>
        <w:pStyle w:val="1276"/>
        <w:numPr>
          <w:ilvl w:val="0"/>
          <w:numId w:val="12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не соответствует требованиям к участнику закупки, установленным в приглашении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</w:t>
      </w:r>
      <w:r>
        <w:t xml:space="preserve">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</w:t>
      </w:r>
      <w:r>
        <w:t xml:space="preserve">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цен.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  <w:r/>
    </w:p>
    <w:p>
      <w:pPr>
        <w:pStyle w:val="1276"/>
        <w:numPr>
          <w:ilvl w:val="0"/>
          <w:numId w:val="13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</w:t>
      </w:r>
      <w:r>
        <w:t xml:space="preserve">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На основании результатов рассмотрения заявок принимается решение: </w:t>
      </w:r>
      <w:r/>
    </w:p>
    <w:p>
      <w:pPr>
        <w:pStyle w:val="1276"/>
        <w:numPr>
          <w:ilvl w:val="0"/>
          <w:numId w:val="14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соответствующими требованиям приглашения к участию в закупке способом сравнения цен;</w:t>
      </w:r>
      <w:r/>
    </w:p>
    <w:p>
      <w:pPr>
        <w:pStyle w:val="1276"/>
        <w:numPr>
          <w:ilvl w:val="0"/>
          <w:numId w:val="15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 результатам рассмотрения заявок участников соста</w:t>
      </w:r>
      <w:r>
        <w:t xml:space="preserve">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Заявке участника закупки, в</w:t>
      </w:r>
      <w:r>
        <w:t xml:space="preserve">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Если до заключения договора </w:t>
      </w:r>
      <w:r>
        <w:t xml:space="preserve">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</w:t>
      </w:r>
      <w:r>
        <w:t xml:space="preserve">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Основания, порядок и последствия признания закупки несостоявшейся установлены Положением о закупке Заказчика. 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 xml:space="preserve">Независимо от формы проведения закупки, информация об отказе от проведения закупки отражается в Аналитической записке.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/>
    </w:p>
    <w:p>
      <w:pPr>
        <w:pStyle w:val="1276"/>
        <w:ind w:left="567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numPr>
          <w:ilvl w:val="0"/>
          <w:numId w:val="7"/>
        </w:numPr>
        <w:ind w:left="0" w:firstLine="567"/>
        <w:jc w:val="both"/>
        <w:tabs>
          <w:tab w:val="left" w:pos="142" w:leader="none"/>
          <w:tab w:val="left" w:pos="851" w:leader="none"/>
          <w:tab w:val="center" w:pos="1134" w:leader="none"/>
        </w:tabs>
        <w:outlineLvl w:val="0"/>
      </w:pPr>
      <w:r>
        <w:t xml:space="preserve">ПОРЯДОК ЗАКЛЮЧЕНИЯ ДОГОВОРА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  <w:r/>
    </w:p>
    <w:p>
      <w:pPr>
        <w:pStyle w:val="1276"/>
        <w:numPr>
          <w:ilvl w:val="1"/>
          <w:numId w:val="7"/>
        </w:numPr>
        <w:ind w:left="0" w:firstLine="567"/>
        <w:jc w:val="both"/>
        <w:tabs>
          <w:tab w:val="left" w:pos="142" w:leader="none"/>
          <w:tab w:val="center" w:pos="1134" w:leader="none"/>
        </w:tabs>
      </w:pPr>
      <w:r>
        <w:t xml:space="preserve">Заказчик вправе заключить договор с участником закупки, кото</w:t>
      </w:r>
      <w:r>
        <w:t xml:space="preserve">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276"/>
        <w:jc w:val="both"/>
        <w:tabs>
          <w:tab w:val="left" w:pos="142" w:leader="none"/>
          <w:tab w:val="center" w:pos="1134" w:leader="none"/>
        </w:tabs>
      </w:pPr>
      <w:r/>
      <w:r/>
    </w:p>
    <w:p>
      <w:pPr>
        <w:pStyle w:val="1309"/>
        <w:ind w:left="0"/>
        <w:spacing w:before="0" w:after="0"/>
      </w:pPr>
      <w:r>
        <w:t xml:space="preserve">Приложения: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Техническое задание;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Проект договора;</w:t>
      </w:r>
      <w:r/>
    </w:p>
    <w:p>
      <w:pPr>
        <w:pStyle w:val="1309"/>
        <w:numPr>
          <w:ilvl w:val="0"/>
          <w:numId w:val="2"/>
        </w:numPr>
        <w:spacing w:before="0" w:after="0"/>
      </w:pPr>
      <w:r>
        <w:t xml:space="preserve">Форма заявки на участие в закупке с приложениями.</w:t>
      </w:r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jc w:val="center"/>
        <w:spacing w:before="0" w:after="0"/>
      </w:pPr>
      <w:r/>
      <w:r/>
    </w:p>
    <w:p>
      <w:pPr>
        <w:pStyle w:val="1309"/>
        <w:ind w:left="0"/>
        <w:spacing w:before="0" w:after="0"/>
      </w:pPr>
      <w:r>
        <w:t xml:space="preserve">Начальник отдела договорной работы</w:t>
      </w:r>
      <w:r/>
    </w:p>
    <w:p>
      <w:pPr>
        <w:pStyle w:val="1309"/>
        <w:ind w:left="0"/>
        <w:spacing w:before="0" w:after="0"/>
      </w:pPr>
      <w:r>
        <w:t xml:space="preserve">управления реализации дополнительных услуг</w:t>
      </w:r>
      <w:r/>
    </w:p>
    <w:p>
      <w:pPr>
        <w:pStyle w:val="1309"/>
        <w:ind w:left="0"/>
        <w:spacing w:before="0" w:after="0"/>
      </w:pPr>
      <w:r>
        <w:t xml:space="preserve">Западных электрических сетей филиала </w:t>
      </w:r>
      <w:r/>
    </w:p>
    <w:p>
      <w:pPr>
        <w:pStyle w:val="1309"/>
        <w:ind w:left="0"/>
        <w:spacing w:before="0" w:after="0"/>
      </w:pPr>
      <w:r>
        <w:t xml:space="preserve">ПАО «Россети Московский регион»</w:t>
        <w:tab/>
        <w:t xml:space="preserve">                                                                          Я.А. Рябова</w:t>
      </w:r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766" w:right="709" w:bottom="1021" w:left="1134" w:header="709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Calibri">
    <w:panose1 w:val="020F0502020204030204"/>
  </w:font>
  <w:font w:name="Noto Sans">
    <w:panose1 w:val="020B0502040504020204"/>
  </w:font>
  <w:font w:name="PF Din Text Cond Pro Light">
    <w:panose1 w:val="02000000000000000000"/>
  </w:font>
  <w:font w:name="Tahoma">
    <w:panose1 w:val="020B0604030504040204"/>
  </w:font>
  <w:font w:name="Times New Roman">
    <w:panose1 w:val="02020603050405020304"/>
  </w:font>
  <w:font w:name="Calibri Light">
    <w:panose1 w:val="020F0502020204030204"/>
  </w:font>
  <w:font w:name="Cambria">
    <w:panose1 w:val="02040503050406030204"/>
  </w:font>
  <w:font w:name="Arial">
    <w:panose1 w:val="020B0604020202020204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318"/>
      </w:pPr>
      <w:r>
        <w:rPr>
          <w:rStyle w:val="1293"/>
        </w:rPr>
        <w:footnoteRef/>
      </w:r>
      <w:r>
        <w:t xml:space="preserve"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  <w:r/>
    </w:p>
  </w:footnote>
  <w:footnote w:id="3">
    <w:p>
      <w:pPr>
        <w:pStyle w:val="1318"/>
      </w:pPr>
      <w:r>
        <w:rPr>
          <w:rStyle w:val="1293"/>
        </w:rPr>
        <w:footnoteRef/>
      </w:r>
      <w:r>
        <w:t xml:space="preserve"> В случае, если выписка из Единого реестра сведений о членах саморегулируемых организаций не представлена - эксперт проводит оценку на основании информации, размещенной в публичном источнике (на сайте Единого реестра).</w:t>
      </w:r>
      <w:r/>
    </w:p>
  </w:footnote>
  <w:footnote w:id="4">
    <w:p>
      <w:pPr>
        <w:pStyle w:val="1318"/>
      </w:pPr>
      <w:r>
        <w:rPr>
          <w:rStyle w:val="1293"/>
        </w:rPr>
        <w:footnoteRef/>
      </w:r>
      <w:r>
        <w:t xml:space="preserve"> При закупках на выполнение СМР, ПНР.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3</w:t>
    </w:r>
    <w:r>
      <w:fldChar w:fldCharType="end"/>
    </w:r>
    <w:r/>
  </w:p>
  <w:p>
    <w:pPr>
      <w:pStyle w:val="13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<wp:simplePos x="0" y="0"/>
              <wp:positionH relativeFrom="page">
                <wp:align>center</wp:align>
              </wp:positionH>
              <wp:positionV relativeFrom="paragraph">
                <wp:posOffset>-257174</wp:posOffset>
              </wp:positionV>
              <wp:extent cx="7531100" cy="2157095"/>
              <wp:effectExtent l="0" t="0" r="0" b="0"/>
              <wp:wrapSquare wrapText="bothSides"/>
              <wp:docPr id="1" name="_x0000_s205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531100" cy="2157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524288;o:allowoverlap:true;o:allowincell:false;mso-position-horizontal-relative:page;mso-position-horizontal:center;mso-position-vertical-relative:text;margin-top:-20.25pt;mso-position-vertical:absolute;width:593.00pt;height:169.8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3" behindDoc="1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2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250609663;o:allowoverlap:true;o:allowincell:true;mso-position-horizontal-relative:text;margin-left:115.4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2" behindDoc="1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3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2" o:spid="_x0000_s2" o:spt="1" type="#_x0000_t1" style="position:absolute;z-index:-250609662;o:allowoverlap:true;o:allowincell:true;mso-position-horizontal-relative:text;margin-left:8.95pt;mso-position-horizontal:absolute;mso-position-vertical-relative:text;margin-top:164.8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1" behindDoc="1" locked="0" layoutInCell="1" allowOverlap="1">
              <wp:simplePos x="0" y="0"/>
              <wp:positionH relativeFrom="column">
                <wp:posOffset>1542415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4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3" o:spid="_x0000_s3" o:spt="1" type="#_x0000_t1" style="position:absolute;z-index:-250609661;o:allowoverlap:true;o:allowincell:true;mso-position-horizontal-relative:text;margin-left:121.45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60" behindDoc="1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5" name="_x0000_s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4" o:spid="_x0000_s4" o:spt="1" type="#_x0000_t1" style="position:absolute;z-index:-250609660;o:allowoverlap:true;o:allowincell:true;mso-position-horizontal-relative:text;margin-left:-2.30pt;mso-position-horizontal:absolute;mso-position-vertical-relative:text;margin-top:140.95pt;mso-position-vertical:absolute;width:83.75pt;height:23.9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9" behindDoc="1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1028065</wp:posOffset>
              </wp:positionV>
              <wp:extent cx="2443480" cy="1490980"/>
              <wp:effectExtent l="0" t="0" r="0" b="0"/>
              <wp:wrapNone/>
              <wp:docPr id="6" name="_x0000_s20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  <w:r>
                            <w:rPr>
                              <w:sz w:val="28"/>
                              <w:szCs w:val="28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5" o:spid="_x0000_s5" o:spt="1" type="#_x0000_t1" style="position:absolute;z-index:-250609659;o:allowoverlap:true;o:allowincell:true;mso-position-horizontal-relative:text;margin-left:258.60pt;mso-position-horizontal:absolute;mso-position-vertical-relative:text;margin-top:80.95pt;mso-position-vertical:absolute;width:192.40pt;height:117.4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  <w:r>
                      <w:rPr>
                        <w:sz w:val="28"/>
                        <w:szCs w:val="28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8" behindDoc="1" locked="0" layoutInCell="1" allowOverlap="1">
              <wp:simplePos x="0" y="0"/>
              <wp:positionH relativeFrom="column">
                <wp:posOffset>3281045</wp:posOffset>
              </wp:positionH>
              <wp:positionV relativeFrom="paragraph">
                <wp:posOffset>-39369</wp:posOffset>
              </wp:positionV>
              <wp:extent cx="3002915" cy="1131570"/>
              <wp:effectExtent l="0" t="0" r="0" b="0"/>
              <wp:wrapNone/>
              <wp:docPr id="7" name="_x0000_s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002915" cy="1131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Филиал ПАО «Россети Московский регион» -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Западные электрические сети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РФ, 143006, Московская обл., г. Одинцово, Транспортный проезд, д. 32 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Тел.: 8 (495) 5257300 вн. 21-56 канцелярия, 8 (495) 5257302 приемная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HYPERLINK "http://www.rossetimr.ru/"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www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b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e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-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mail</w:t>
                          </w: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: </w:t>
                          </w:r>
                          <w:r>
                            <w:fldChar w:fldCharType="begin"/>
                          </w:r>
                          <w:r>
                            <w:instrText xml:space="preserve"> HYPERLINK "mailto:zes@rossetimr.ru"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zes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@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rossetimr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  <w:t xml:space="preserve">.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t xml:space="preserve">ru</w:t>
                          </w:r>
                          <w:r>
                            <w:rPr>
                              <w:rStyle w:val="1285"/>
                              <w:rFonts w:ascii="PF Din Text Cond Pro Light" w:hAnsi="PF Din Text Cond Pro Light"/>
                              <w:sz w:val="16"/>
                              <w:szCs w:val="1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color w:val="000000"/>
                              <w:sz w:val="16"/>
                              <w:szCs w:val="16"/>
                            </w:rPr>
                            <w:t xml:space="preserve">ОКПО 77293314, ОГРН 1057746555811, ИНН 5036065113, КПП 503243001</w:t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  <w:r>
                            <w:rPr>
                              <w:rFonts w:ascii="PF Din Text Cond Pro Light" w:hAnsi="PF Din Text Cond Pro Light"/>
                              <w:sz w:val="16"/>
                              <w:szCs w:val="16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szCs w:val="16"/>
                            </w:rPr>
                          </w:pP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  <w:r>
                            <w:rPr>
                              <w:szCs w:val="16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6" o:spid="_x0000_s6" o:spt="1" type="#_x0000_t1" style="position:absolute;z-index:-250609658;o:allowoverlap:true;o:allowincell:true;mso-position-horizontal-relative:text;margin-left:258.35pt;mso-position-horizontal:absolute;mso-position-vertical-relative:text;margin-top:-3.10pt;mso-position-vertical:absolute;width:236.45pt;height:89.10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Филиал ПАО «Россети Московский регион» -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Западные электрические сети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РФ, 143006, Московская обл., г. Одинцово, Транспортный проезд, д. 32 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Тел.: 8 (495) 5257300 вн. 21-56 канцелярия, 8 (495) 5257302 приемная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instrText xml:space="preserve"> HYPERLINK "http://www.rossetimr.ru/"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www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b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, 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e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-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  <w:lang w:val="en-US"/>
                      </w:rPr>
                      <w:t xml:space="preserve">mail</w:t>
                    </w: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: </w:t>
                    </w:r>
                    <w:r>
                      <w:fldChar w:fldCharType="begin"/>
                    </w:r>
                    <w:r>
                      <w:instrText xml:space="preserve"> HYPERLINK "mailto:zes@rossetimr.ru" \h </w:instrText>
                    </w:r>
                    <w:r>
                      <w:fldChar w:fldCharType="separate"/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zes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@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rossetimr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</w:rPr>
                      <w:t xml:space="preserve">.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t xml:space="preserve">ru</w:t>
                    </w:r>
                    <w:r>
                      <w:rPr>
                        <w:rStyle w:val="1285"/>
                        <w:rFonts w:ascii="PF Din Text Cond Pro Light" w:hAnsi="PF Din Text Cond Pro Light"/>
                        <w:sz w:val="16"/>
                        <w:szCs w:val="16"/>
                        <w:lang w:val="en-US"/>
                      </w:rPr>
                      <w:fldChar w:fldCharType="end"/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color w:val="000000"/>
                        <w:sz w:val="16"/>
                        <w:szCs w:val="16"/>
                      </w:rPr>
                      <w:t xml:space="preserve">ОКПО 77293314, ОГРН 1057746555811, ИНН 5036065113, КПП 503243001</w:t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pP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  <w:r>
                      <w:rPr>
                        <w:rFonts w:ascii="PF Din Text Cond Pro Light" w:hAnsi="PF Din Text Cond Pro Light"/>
                        <w:sz w:val="16"/>
                        <w:szCs w:val="16"/>
                      </w:rPr>
                    </w:r>
                  </w:p>
                  <w:p>
                    <w:pPr>
                      <w:pStyle w:val="1319"/>
                      <w:rPr>
                        <w:szCs w:val="16"/>
                      </w:rPr>
                    </w:pP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  <w:r>
                      <w:rPr>
                        <w:szCs w:val="16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7" behindDoc="1" locked="0" layoutInCell="1" allowOverlap="1">
              <wp:simplePos x="0" y="0"/>
              <wp:positionH relativeFrom="column">
                <wp:posOffset>-432434</wp:posOffset>
              </wp:positionH>
              <wp:positionV relativeFrom="paragraph">
                <wp:posOffset>1016635</wp:posOffset>
              </wp:positionV>
              <wp:extent cx="1091565" cy="253365"/>
              <wp:effectExtent l="0" t="0" r="0" b="0"/>
              <wp:wrapNone/>
              <wp:docPr id="8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Июнь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 2026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319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 xml:space="preserve">202</w:t>
                          </w:r>
                          <w:r>
                            <w:rPr>
                              <w:color w:val="000000"/>
                            </w:rPr>
                            <w:t xml:space="preserve"> 2025</w:t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7" o:spid="_x0000_s7" o:spt="1" type="#_x0000_t1" style="position:absolute;z-index:-250609657;o:allowoverlap:true;o:allowincell:true;mso-position-horizontal-relative:text;margin-left:-34.05pt;mso-position-horizontal:absolute;mso-position-vertical-relative:text;margin-top:80.0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Июнь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 2026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319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 xml:space="preserve">202</w:t>
                    </w:r>
                    <w:r>
                      <w:rPr>
                        <w:color w:val="000000"/>
                      </w:rPr>
                      <w:t xml:space="preserve"> 2025</w:t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6" behindDoc="1" locked="0" layoutInCell="1" allowOverlap="1">
              <wp:simplePos x="0" y="0"/>
              <wp:positionH relativeFrom="column">
                <wp:posOffset>862965</wp:posOffset>
              </wp:positionH>
              <wp:positionV relativeFrom="paragraph">
                <wp:posOffset>1020445</wp:posOffset>
              </wp:positionV>
              <wp:extent cx="1091565" cy="253365"/>
              <wp:effectExtent l="0" t="0" r="0" b="0"/>
              <wp:wrapNone/>
              <wp:docPr id="9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  <w:r>
                            <w:rPr>
                              <w:color w:val="000000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8" o:spid="_x0000_s8" o:spt="1" type="#_x0000_t1" style="position:absolute;z-index:-250609656;o:allowoverlap:true;o:allowincell:true;mso-position-horizontal-relative:text;margin-left:67.95pt;mso-position-horizontal:absolute;mso-position-vertical-relative:text;margin-top:80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  <w:r>
                      <w:rPr>
                        <w:color w:val="000000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5" behindDoc="1" locked="0" layoutInCell="1" allowOverlap="1">
              <wp:simplePos x="0" y="0"/>
              <wp:positionH relativeFrom="column">
                <wp:posOffset>-428624</wp:posOffset>
              </wp:positionH>
              <wp:positionV relativeFrom="paragraph">
                <wp:posOffset>1249045</wp:posOffset>
              </wp:positionV>
              <wp:extent cx="1091565" cy="253365"/>
              <wp:effectExtent l="0" t="0" r="0" b="0"/>
              <wp:wrapNone/>
              <wp:docPr id="10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9" o:spid="_x0000_s9" o:spt="1" type="#_x0000_t1" style="position:absolute;z-index:-250609655;o:allowoverlap:true;o:allowincell:true;mso-position-horizontal-relative:text;margin-left:-33.75pt;mso-position-horizontal:absolute;mso-position-vertical-relative:text;margin-top:98.3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0609654" behindDoc="1" locked="0" layoutInCell="1" allowOverlap="1">
              <wp:simplePos x="0" y="0"/>
              <wp:positionH relativeFrom="column">
                <wp:posOffset>866775</wp:posOffset>
              </wp:positionH>
              <wp:positionV relativeFrom="paragraph">
                <wp:posOffset>1252855</wp:posOffset>
              </wp:positionV>
              <wp:extent cx="1091565" cy="253365"/>
              <wp:effectExtent l="0" t="0" r="0" b="0"/>
              <wp:wrapNone/>
              <wp:docPr id="1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091565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1319"/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  <w:r>
                            <w:rPr>
                              <w:lang w:val="en-US"/>
                            </w:rPr>
                          </w:r>
                        </w:p>
                        <w:p>
                          <w:pPr>
                            <w:pStyle w:val="1276"/>
                          </w:pPr>
                          <w:r/>
                          <w:r/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shape id="shape 10" o:spid="_x0000_s10" o:spt="1" type="#_x0000_t1" style="position:absolute;z-index:-250609654;o:allowoverlap:true;o:allowincell:true;mso-position-horizontal-relative:text;margin-left:68.25pt;mso-position-horizontal:absolute;mso-position-vertical-relative:text;margin-top:98.65pt;mso-position-vertical:absolute;width:85.95pt;height:19.95pt;mso-wrap-distance-left:0.00pt;mso-wrap-distance-top:0.00pt;mso-wrap-distance-right:0.00pt;mso-wrap-distance-bottom:0.00pt;visibility:visible;" filled="f" stroked="f">
              <v:textbox inset="0,0,0,0">
                <w:txbxContent>
                  <w:p>
                    <w:pPr>
                      <w:pStyle w:val="1319"/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  <w:r>
                      <w:rPr>
                        <w:lang w:val="en-US"/>
                      </w:rPr>
                    </w:r>
                  </w:p>
                  <w:p>
                    <w:pPr>
                      <w:pStyle w:val="127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8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927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thaiNumbers"/>
      <w:isLgl w:val="false"/>
      <w:suff w:val="tab"/>
      <w:lvlText w:val="%2)"/>
      <w:lvlJc w:val="left"/>
      <w:pPr>
        <w:ind w:left="1440" w:hanging="360"/>
        <w:tabs>
          <w:tab w:val="num" w:pos="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720" w:hanging="360"/>
        <w:tabs>
          <w:tab w:val="num" w:pos="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6"/>
      <w:numFmt w:val="decimal"/>
      <w:isLgl w:val="false"/>
      <w:suff w:val="tab"/>
      <w:lvlText w:val="%1.%2."/>
      <w:lvlJc w:val="left"/>
      <w:pPr>
        <w:ind w:left="1035" w:hanging="540"/>
        <w:tabs>
          <w:tab w:val="num" w:pos="0" w:leader="none"/>
        </w:tabs>
      </w:pPr>
    </w:lvl>
    <w:lvl w:ilvl="2">
      <w:start w:val="4"/>
      <w:numFmt w:val="decimal"/>
      <w:isLgl w:val="false"/>
      <w:suff w:val="tab"/>
      <w:lvlText w:val="%1.%2.%3."/>
      <w:lvlJc w:val="left"/>
      <w:pPr>
        <w:ind w:left="1710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05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06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5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41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05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1800"/>
        <w:tabs>
          <w:tab w:val="num" w:pos="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9008" w:hanging="360"/>
        <w:tabs>
          <w:tab w:val="num" w:pos="8288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  <w:tabs>
          <w:tab w:val="num" w:pos="0" w:leader="none"/>
        </w:tabs>
      </w:pPr>
    </w:lvl>
  </w:abstractNum>
  <w:abstractNum w:abstractNumId="8">
    <w:multiLevelType w:val="hybridMultilevel"/>
    <w:lvl w:ilvl="0">
      <w:start w:val="1"/>
      <w:numFmt w:val="decimal"/>
      <w:pStyle w:val="127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127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131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6"/>
  </w:num>
  <w:num w:numId="5">
    <w:abstractNumId w:val="0"/>
  </w:num>
  <w:num w:numId="6">
    <w:abstractNumId w:val="7"/>
    <w:lvlOverride w:ilvl="0">
      <w:startOverride w:val="1"/>
    </w:lvlOverride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1"/>
    <w:lvlOverride w:ilvl="0">
      <w:startOverride w:val="1"/>
    </w:lvlOverride>
  </w:num>
  <w:num w:numId="13">
    <w:abstractNumId w:val="1"/>
  </w:num>
  <w:num w:numId="14">
    <w:abstractNumId w:val="5"/>
    <w:lvlOverride w:ilvl="0">
      <w:startOverride w:val="1"/>
    </w:lvlOverride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98">
    <w:name w:val="Heading 1"/>
    <w:basedOn w:val="1276"/>
    <w:next w:val="1276"/>
    <w:link w:val="109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099">
    <w:name w:val="Heading 1 Char"/>
    <w:link w:val="109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100">
    <w:name w:val="Heading 2"/>
    <w:basedOn w:val="1276"/>
    <w:next w:val="1276"/>
    <w:link w:val="110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101">
    <w:name w:val="Heading 2 Char"/>
    <w:link w:val="1100"/>
    <w:uiPriority w:val="9"/>
    <w:rPr>
      <w:rFonts w:ascii="Liberation Sans" w:hAnsi="Liberation Sans" w:eastAsia="Liberation Sans" w:cs="Liberation Sans"/>
      <w:sz w:val="34"/>
    </w:rPr>
  </w:style>
  <w:style w:type="paragraph" w:styleId="1102">
    <w:name w:val="Heading 3"/>
    <w:basedOn w:val="1276"/>
    <w:next w:val="1276"/>
    <w:link w:val="110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103">
    <w:name w:val="Heading 3 Char"/>
    <w:link w:val="110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104">
    <w:name w:val="Heading 4"/>
    <w:basedOn w:val="1276"/>
    <w:next w:val="1276"/>
    <w:link w:val="110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105">
    <w:name w:val="Heading 4 Char"/>
    <w:link w:val="110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106">
    <w:name w:val="Heading 5"/>
    <w:basedOn w:val="1276"/>
    <w:next w:val="1276"/>
    <w:link w:val="110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107">
    <w:name w:val="Heading 5 Char"/>
    <w:link w:val="110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108">
    <w:name w:val="Heading 6"/>
    <w:basedOn w:val="1276"/>
    <w:next w:val="1276"/>
    <w:link w:val="11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109">
    <w:name w:val="Heading 6 Char"/>
    <w:link w:val="11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110">
    <w:name w:val="Heading 7"/>
    <w:basedOn w:val="1276"/>
    <w:next w:val="1276"/>
    <w:link w:val="11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111">
    <w:name w:val="Heading 7 Char"/>
    <w:link w:val="11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112">
    <w:name w:val="Heading 8"/>
    <w:basedOn w:val="1276"/>
    <w:next w:val="1276"/>
    <w:link w:val="11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113">
    <w:name w:val="Heading 8 Char"/>
    <w:link w:val="11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114">
    <w:name w:val="Heading 9"/>
    <w:basedOn w:val="1276"/>
    <w:next w:val="1276"/>
    <w:link w:val="11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115">
    <w:name w:val="Heading 9 Char"/>
    <w:link w:val="11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116">
    <w:name w:val="List Paragraph"/>
    <w:basedOn w:val="1276"/>
    <w:uiPriority w:val="34"/>
    <w:qFormat/>
    <w:pPr>
      <w:contextualSpacing/>
      <w:ind w:left="720"/>
    </w:pPr>
  </w:style>
  <w:style w:type="paragraph" w:styleId="1117">
    <w:name w:val="No Spacing"/>
    <w:uiPriority w:val="1"/>
    <w:qFormat/>
    <w:pPr>
      <w:spacing w:before="0" w:after="0" w:line="240" w:lineRule="auto"/>
    </w:pPr>
  </w:style>
  <w:style w:type="paragraph" w:styleId="1118">
    <w:name w:val="Title"/>
    <w:basedOn w:val="1276"/>
    <w:next w:val="1276"/>
    <w:link w:val="111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119">
    <w:name w:val="Title Char"/>
    <w:link w:val="1118"/>
    <w:uiPriority w:val="10"/>
    <w:rPr>
      <w:sz w:val="48"/>
      <w:szCs w:val="48"/>
    </w:rPr>
  </w:style>
  <w:style w:type="paragraph" w:styleId="1120">
    <w:name w:val="Subtitle"/>
    <w:basedOn w:val="1276"/>
    <w:next w:val="1276"/>
    <w:link w:val="1121"/>
    <w:uiPriority w:val="11"/>
    <w:qFormat/>
    <w:pPr>
      <w:spacing w:before="200" w:after="200"/>
    </w:pPr>
    <w:rPr>
      <w:sz w:val="24"/>
      <w:szCs w:val="24"/>
    </w:rPr>
  </w:style>
  <w:style w:type="character" w:styleId="1121">
    <w:name w:val="Subtitle Char"/>
    <w:link w:val="1120"/>
    <w:uiPriority w:val="11"/>
    <w:rPr>
      <w:sz w:val="24"/>
      <w:szCs w:val="24"/>
    </w:rPr>
  </w:style>
  <w:style w:type="paragraph" w:styleId="1122">
    <w:name w:val="Quote"/>
    <w:basedOn w:val="1276"/>
    <w:next w:val="1276"/>
    <w:link w:val="1123"/>
    <w:uiPriority w:val="29"/>
    <w:qFormat/>
    <w:pPr>
      <w:ind w:left="720" w:right="720"/>
    </w:pPr>
    <w:rPr>
      <w:i/>
    </w:rPr>
  </w:style>
  <w:style w:type="character" w:styleId="1123">
    <w:name w:val="Quote Char"/>
    <w:link w:val="1122"/>
    <w:uiPriority w:val="29"/>
    <w:rPr>
      <w:i/>
    </w:rPr>
  </w:style>
  <w:style w:type="paragraph" w:styleId="1124">
    <w:name w:val="Intense Quote"/>
    <w:basedOn w:val="1276"/>
    <w:next w:val="1276"/>
    <w:link w:val="11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25">
    <w:name w:val="Intense Quote Char"/>
    <w:link w:val="1124"/>
    <w:uiPriority w:val="30"/>
    <w:rPr>
      <w:i/>
    </w:rPr>
  </w:style>
  <w:style w:type="paragraph" w:styleId="1126">
    <w:name w:val="Header"/>
    <w:basedOn w:val="1276"/>
    <w:link w:val="11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7">
    <w:name w:val="Header Char"/>
    <w:link w:val="1126"/>
    <w:uiPriority w:val="99"/>
  </w:style>
  <w:style w:type="paragraph" w:styleId="1128">
    <w:name w:val="Footer"/>
    <w:basedOn w:val="1276"/>
    <w:link w:val="112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129">
    <w:name w:val="Footer Char"/>
    <w:link w:val="1128"/>
    <w:uiPriority w:val="99"/>
  </w:style>
  <w:style w:type="paragraph" w:styleId="1130">
    <w:name w:val="Caption"/>
    <w:basedOn w:val="1276"/>
    <w:next w:val="1276"/>
    <w:link w:val="11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131">
    <w:name w:val="Caption Char"/>
    <w:link w:val="1130"/>
    <w:uiPriority w:val="35"/>
    <w:rPr>
      <w:b/>
      <w:bCs/>
      <w:color w:val="4f81bd" w:themeColor="accent1"/>
      <w:sz w:val="18"/>
      <w:szCs w:val="18"/>
    </w:rPr>
  </w:style>
  <w:style w:type="table" w:styleId="113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13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3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3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3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4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5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6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6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6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6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6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6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6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6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6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16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17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17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17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17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17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17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17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17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17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17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18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9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9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9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9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9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20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20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20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1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22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22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22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22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22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22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22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23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23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23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23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23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23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23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23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3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3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4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4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24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24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24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24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24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25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25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25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5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5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5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5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5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58">
    <w:name w:val="Hyperlink"/>
    <w:uiPriority w:val="99"/>
    <w:unhideWhenUsed/>
    <w:rPr>
      <w:color w:val="0000ff" w:themeColor="hyperlink"/>
      <w:u w:val="single"/>
    </w:rPr>
  </w:style>
  <w:style w:type="paragraph" w:styleId="1259">
    <w:name w:val="footnote text"/>
    <w:basedOn w:val="1276"/>
    <w:link w:val="1260"/>
    <w:uiPriority w:val="99"/>
    <w:semiHidden/>
    <w:unhideWhenUsed/>
    <w:pPr>
      <w:spacing w:after="40" w:line="240" w:lineRule="auto"/>
    </w:pPr>
    <w:rPr>
      <w:sz w:val="18"/>
    </w:rPr>
  </w:style>
  <w:style w:type="character" w:styleId="1260">
    <w:name w:val="Footnote Text Char"/>
    <w:link w:val="1259"/>
    <w:uiPriority w:val="99"/>
    <w:rPr>
      <w:sz w:val="18"/>
    </w:rPr>
  </w:style>
  <w:style w:type="character" w:styleId="1261">
    <w:name w:val="footnote reference"/>
    <w:uiPriority w:val="99"/>
    <w:unhideWhenUsed/>
    <w:rPr>
      <w:vertAlign w:val="superscript"/>
    </w:rPr>
  </w:style>
  <w:style w:type="paragraph" w:styleId="1262">
    <w:name w:val="endnote text"/>
    <w:basedOn w:val="1276"/>
    <w:link w:val="1263"/>
    <w:uiPriority w:val="99"/>
    <w:semiHidden/>
    <w:unhideWhenUsed/>
    <w:pPr>
      <w:spacing w:after="0" w:line="240" w:lineRule="auto"/>
    </w:pPr>
    <w:rPr>
      <w:sz w:val="20"/>
    </w:rPr>
  </w:style>
  <w:style w:type="character" w:styleId="1263">
    <w:name w:val="Endnote Text Char"/>
    <w:link w:val="1262"/>
    <w:uiPriority w:val="99"/>
    <w:rPr>
      <w:sz w:val="20"/>
    </w:rPr>
  </w:style>
  <w:style w:type="character" w:styleId="1264">
    <w:name w:val="endnote reference"/>
    <w:uiPriority w:val="99"/>
    <w:semiHidden/>
    <w:unhideWhenUsed/>
    <w:rPr>
      <w:vertAlign w:val="superscript"/>
    </w:rPr>
  </w:style>
  <w:style w:type="paragraph" w:styleId="1265">
    <w:name w:val="toc 1"/>
    <w:basedOn w:val="1276"/>
    <w:next w:val="1276"/>
    <w:uiPriority w:val="39"/>
    <w:unhideWhenUsed/>
    <w:pPr>
      <w:ind w:left="0" w:right="0" w:firstLine="0"/>
      <w:spacing w:after="57"/>
    </w:pPr>
  </w:style>
  <w:style w:type="paragraph" w:styleId="1266">
    <w:name w:val="toc 2"/>
    <w:basedOn w:val="1276"/>
    <w:next w:val="1276"/>
    <w:uiPriority w:val="39"/>
    <w:unhideWhenUsed/>
    <w:pPr>
      <w:ind w:left="283" w:right="0" w:firstLine="0"/>
      <w:spacing w:after="57"/>
    </w:pPr>
  </w:style>
  <w:style w:type="paragraph" w:styleId="1267">
    <w:name w:val="toc 3"/>
    <w:basedOn w:val="1276"/>
    <w:next w:val="1276"/>
    <w:uiPriority w:val="39"/>
    <w:unhideWhenUsed/>
    <w:pPr>
      <w:ind w:left="567" w:right="0" w:firstLine="0"/>
      <w:spacing w:after="57"/>
    </w:pPr>
  </w:style>
  <w:style w:type="paragraph" w:styleId="1268">
    <w:name w:val="toc 4"/>
    <w:basedOn w:val="1276"/>
    <w:next w:val="1276"/>
    <w:uiPriority w:val="39"/>
    <w:unhideWhenUsed/>
    <w:pPr>
      <w:ind w:left="850" w:right="0" w:firstLine="0"/>
      <w:spacing w:after="57"/>
    </w:pPr>
  </w:style>
  <w:style w:type="paragraph" w:styleId="1269">
    <w:name w:val="toc 5"/>
    <w:basedOn w:val="1276"/>
    <w:next w:val="1276"/>
    <w:uiPriority w:val="39"/>
    <w:unhideWhenUsed/>
    <w:pPr>
      <w:ind w:left="1134" w:right="0" w:firstLine="0"/>
      <w:spacing w:after="57"/>
    </w:pPr>
  </w:style>
  <w:style w:type="paragraph" w:styleId="1270">
    <w:name w:val="toc 6"/>
    <w:basedOn w:val="1276"/>
    <w:next w:val="1276"/>
    <w:uiPriority w:val="39"/>
    <w:unhideWhenUsed/>
    <w:pPr>
      <w:ind w:left="1417" w:right="0" w:firstLine="0"/>
      <w:spacing w:after="57"/>
    </w:pPr>
  </w:style>
  <w:style w:type="paragraph" w:styleId="1271">
    <w:name w:val="toc 7"/>
    <w:basedOn w:val="1276"/>
    <w:next w:val="1276"/>
    <w:uiPriority w:val="39"/>
    <w:unhideWhenUsed/>
    <w:pPr>
      <w:ind w:left="1701" w:right="0" w:firstLine="0"/>
      <w:spacing w:after="57"/>
    </w:pPr>
  </w:style>
  <w:style w:type="paragraph" w:styleId="1272">
    <w:name w:val="toc 8"/>
    <w:basedOn w:val="1276"/>
    <w:next w:val="1276"/>
    <w:uiPriority w:val="39"/>
    <w:unhideWhenUsed/>
    <w:pPr>
      <w:ind w:left="1984" w:right="0" w:firstLine="0"/>
      <w:spacing w:after="57"/>
    </w:pPr>
  </w:style>
  <w:style w:type="paragraph" w:styleId="1273">
    <w:name w:val="toc 9"/>
    <w:basedOn w:val="1276"/>
    <w:next w:val="1276"/>
    <w:uiPriority w:val="39"/>
    <w:unhideWhenUsed/>
    <w:pPr>
      <w:ind w:left="2268" w:right="0" w:firstLine="0"/>
      <w:spacing w:after="57"/>
    </w:pPr>
  </w:style>
  <w:style w:type="paragraph" w:styleId="1274">
    <w:name w:val="TOC Heading"/>
    <w:uiPriority w:val="39"/>
    <w:unhideWhenUsed/>
  </w:style>
  <w:style w:type="paragraph" w:styleId="1275">
    <w:name w:val="table of figures"/>
    <w:basedOn w:val="1276"/>
    <w:next w:val="1276"/>
    <w:uiPriority w:val="99"/>
    <w:unhideWhenUsed/>
    <w:pPr>
      <w:spacing w:after="0" w:afterAutospacing="0"/>
    </w:pPr>
  </w:style>
  <w:style w:type="paragraph" w:styleId="1276" w:default="1">
    <w:name w:val="Normal"/>
    <w:next w:val="1276"/>
    <w:link w:val="1276"/>
    <w:qFormat/>
    <w:rPr>
      <w:sz w:val="24"/>
      <w:szCs w:val="24"/>
      <w:lang w:val="ru-RU" w:eastAsia="ru-RU" w:bidi="ar-SA"/>
    </w:rPr>
  </w:style>
  <w:style w:type="paragraph" w:styleId="1277">
    <w:name w:val="Заголовок 1"/>
    <w:basedOn w:val="1276"/>
    <w:next w:val="1276"/>
    <w:link w:val="1290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1278">
    <w:name w:val="Заголовок 2"/>
    <w:basedOn w:val="1276"/>
    <w:next w:val="1276"/>
    <w:link w:val="1291"/>
    <w:uiPriority w:val="9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1279">
    <w:name w:val="Заголовок 3"/>
    <w:basedOn w:val="1276"/>
    <w:next w:val="1276"/>
    <w:link w:val="1276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ru-RU"/>
    </w:rPr>
  </w:style>
  <w:style w:type="character" w:styleId="1280">
    <w:name w:val="Основной шрифт абзаца"/>
    <w:next w:val="1280"/>
    <w:link w:val="1276"/>
    <w:uiPriority w:val="1"/>
    <w:unhideWhenUsed/>
  </w:style>
  <w:style w:type="table" w:styleId="1281">
    <w:name w:val="Обычная таблица"/>
    <w:next w:val="1281"/>
    <w:link w:val="1276"/>
    <w:uiPriority w:val="99"/>
    <w:semiHidden/>
    <w:unhideWhenUsed/>
    <w:tblPr/>
  </w:style>
  <w:style w:type="numbering" w:styleId="1282">
    <w:name w:val="Нет списка"/>
    <w:next w:val="1282"/>
    <w:link w:val="1276"/>
    <w:uiPriority w:val="99"/>
    <w:semiHidden/>
    <w:unhideWhenUsed/>
  </w:style>
  <w:style w:type="character" w:styleId="1283">
    <w:name w:val="Верхний колонтитул Знак"/>
    <w:next w:val="1283"/>
    <w:link w:val="1307"/>
    <w:uiPriority w:val="99"/>
    <w:qFormat/>
    <w:rPr>
      <w:sz w:val="24"/>
      <w:szCs w:val="24"/>
    </w:rPr>
  </w:style>
  <w:style w:type="character" w:styleId="1284">
    <w:name w:val="Нижний колонтитул Знак"/>
    <w:next w:val="1284"/>
    <w:link w:val="1308"/>
    <w:uiPriority w:val="99"/>
    <w:qFormat/>
    <w:rPr>
      <w:sz w:val="24"/>
      <w:szCs w:val="24"/>
    </w:rPr>
  </w:style>
  <w:style w:type="character" w:styleId="1285">
    <w:name w:val="Гиперссылка"/>
    <w:next w:val="1285"/>
    <w:link w:val="1276"/>
    <w:rPr>
      <w:color w:val="0000ff"/>
      <w:u w:val="single"/>
    </w:rPr>
  </w:style>
  <w:style w:type="character" w:styleId="1286">
    <w:name w:val="Название Знак1"/>
    <w:next w:val="1286"/>
    <w:link w:val="1312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7">
    <w:name w:val="Название Знак"/>
    <w:next w:val="1287"/>
    <w:link w:val="1276"/>
    <w:qFormat/>
    <w:rPr>
      <w:rFonts w:ascii="Calibri Light" w:hAnsi="Calibri Light" w:eastAsia="Calibri Light" w:cs="Calibri Light"/>
      <w:color w:val="323e4f"/>
      <w:spacing w:val="5"/>
      <w:sz w:val="52"/>
      <w:szCs w:val="52"/>
    </w:rPr>
  </w:style>
  <w:style w:type="character" w:styleId="1288">
    <w:name w:val="Заголовок Знак"/>
    <w:next w:val="1288"/>
    <w:link w:val="1276"/>
    <w:qFormat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1289">
    <w:name w:val="Текст выноски Знак"/>
    <w:next w:val="1289"/>
    <w:link w:val="1313"/>
    <w:uiPriority w:val="99"/>
    <w:semiHidden/>
    <w:qFormat/>
    <w:rPr>
      <w:rFonts w:ascii="Tahoma" w:hAnsi="Tahoma" w:cs="Tahoma"/>
      <w:sz w:val="16"/>
      <w:szCs w:val="16"/>
    </w:rPr>
  </w:style>
  <w:style w:type="character" w:styleId="1290">
    <w:name w:val="Заголовок 1 Знак"/>
    <w:next w:val="1290"/>
    <w:link w:val="1277"/>
    <w:qFormat/>
    <w:rPr>
      <w:rFonts w:ascii="Arial" w:hAnsi="Arial"/>
      <w:b/>
      <w:sz w:val="40"/>
    </w:rPr>
  </w:style>
  <w:style w:type="character" w:styleId="1291">
    <w:name w:val="Заголовок 2 Знак"/>
    <w:next w:val="1291"/>
    <w:link w:val="1278"/>
    <w:uiPriority w:val="9"/>
    <w:qFormat/>
    <w:rPr>
      <w:b/>
      <w:sz w:val="32"/>
    </w:rPr>
  </w:style>
  <w:style w:type="character" w:styleId="1292">
    <w:name w:val="Текст сноски Знак"/>
    <w:basedOn w:val="1280"/>
    <w:next w:val="1292"/>
    <w:link w:val="1318"/>
    <w:semiHidden/>
    <w:qFormat/>
  </w:style>
  <w:style w:type="character" w:styleId="1293">
    <w:name w:val="Символ сноски"/>
    <w:next w:val="1293"/>
    <w:link w:val="1276"/>
    <w:uiPriority w:val="99"/>
    <w:semiHidden/>
    <w:unhideWhenUsed/>
    <w:qFormat/>
    <w:rPr>
      <w:rFonts w:ascii="Times New Roman" w:hAnsi="Times New Roman" w:cs="Times New Roman"/>
      <w:vertAlign w:val="superscript"/>
    </w:rPr>
  </w:style>
  <w:style w:type="character" w:styleId="1294">
    <w:name w:val="Знак сноски"/>
    <w:next w:val="1294"/>
    <w:link w:val="1276"/>
    <w:rPr>
      <w:rFonts w:ascii="Times New Roman" w:hAnsi="Times New Roman" w:cs="Times New Roman"/>
      <w:vertAlign w:val="superscript"/>
    </w:rPr>
  </w:style>
  <w:style w:type="character" w:styleId="1295">
    <w:name w:val="Символ концевой сноски"/>
    <w:next w:val="1295"/>
    <w:link w:val="1276"/>
    <w:qFormat/>
    <w:rPr>
      <w:vertAlign w:val="superscript"/>
    </w:rPr>
  </w:style>
  <w:style w:type="character" w:styleId="1296">
    <w:name w:val="Знак концевой сноски"/>
    <w:next w:val="1296"/>
    <w:link w:val="1276"/>
    <w:rPr>
      <w:vertAlign w:val="superscript"/>
    </w:rPr>
  </w:style>
  <w:style w:type="character" w:styleId="1297">
    <w:name w:val="WW8Num21z0"/>
    <w:next w:val="1297"/>
    <w:link w:val="1276"/>
    <w:qFormat/>
    <w:rPr>
      <w:rFonts w:cs="Times New Roman"/>
    </w:rPr>
  </w:style>
  <w:style w:type="character" w:styleId="1298">
    <w:name w:val="WW8Num3z0"/>
    <w:next w:val="1298"/>
    <w:link w:val="1276"/>
    <w:qFormat/>
  </w:style>
  <w:style w:type="character" w:styleId="1299">
    <w:name w:val="WW8Num37z0"/>
    <w:next w:val="1299"/>
    <w:link w:val="1276"/>
    <w:qFormat/>
  </w:style>
  <w:style w:type="character" w:styleId="1300">
    <w:name w:val="WW8Num38z0"/>
    <w:next w:val="1300"/>
    <w:link w:val="1276"/>
    <w:qFormat/>
    <w:rPr>
      <w:rFonts w:cs="Times New Roman"/>
    </w:rPr>
  </w:style>
  <w:style w:type="paragraph" w:styleId="1301">
    <w:name w:val="Заголовок"/>
    <w:basedOn w:val="1276"/>
    <w:next w:val="1302"/>
    <w:link w:val="1276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302">
    <w:name w:val="Основной текст"/>
    <w:basedOn w:val="1276"/>
    <w:next w:val="1302"/>
    <w:link w:val="1276"/>
    <w:pPr>
      <w:spacing w:before="0" w:after="140" w:line="276" w:lineRule="auto"/>
    </w:pPr>
  </w:style>
  <w:style w:type="paragraph" w:styleId="1303">
    <w:name w:val="Список"/>
    <w:basedOn w:val="1302"/>
    <w:next w:val="1303"/>
    <w:link w:val="1276"/>
    <w:rPr>
      <w:rFonts w:cs="Noto Sans"/>
    </w:rPr>
  </w:style>
  <w:style w:type="paragraph" w:styleId="1304">
    <w:name w:val="Название объекта"/>
    <w:basedOn w:val="1276"/>
    <w:next w:val="1304"/>
    <w:link w:val="1276"/>
    <w:qFormat/>
    <w:pPr>
      <w:spacing w:before="120" w:after="120"/>
      <w:suppressLineNumbers/>
    </w:pPr>
    <w:rPr>
      <w:rFonts w:cs="Noto Sans"/>
      <w:i/>
      <w:iCs/>
      <w:sz w:val="24"/>
      <w:szCs w:val="24"/>
    </w:rPr>
  </w:style>
  <w:style w:type="paragraph" w:styleId="1305">
    <w:name w:val="Указатель"/>
    <w:basedOn w:val="1276"/>
    <w:next w:val="1305"/>
    <w:link w:val="1276"/>
    <w:qFormat/>
    <w:pPr>
      <w:suppressLineNumbers/>
    </w:pPr>
    <w:rPr>
      <w:rFonts w:cs="Noto Sans"/>
    </w:rPr>
  </w:style>
  <w:style w:type="paragraph" w:styleId="1306">
    <w:name w:val="Колонтитул"/>
    <w:basedOn w:val="1276"/>
    <w:next w:val="1306"/>
    <w:link w:val="1276"/>
    <w:qFormat/>
  </w:style>
  <w:style w:type="paragraph" w:styleId="1307">
    <w:name w:val="Верхний колонтитул"/>
    <w:basedOn w:val="1276"/>
    <w:next w:val="1307"/>
    <w:link w:val="1283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8">
    <w:name w:val="Нижний колонтитул"/>
    <w:basedOn w:val="1276"/>
    <w:next w:val="1308"/>
    <w:link w:val="1284"/>
    <w:uiPriority w:val="99"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1309">
    <w:name w:val="Абзац списка"/>
    <w:basedOn w:val="1276"/>
    <w:next w:val="1309"/>
    <w:link w:val="1276"/>
    <w:qFormat/>
    <w:pPr>
      <w:ind w:left="720" w:right="0" w:firstLine="0"/>
      <w:spacing w:before="280" w:after="280"/>
    </w:pPr>
    <w:rPr>
      <w:rFonts w:eastAsia="Calibri"/>
    </w:rPr>
  </w:style>
  <w:style w:type="paragraph" w:styleId="1310">
    <w:name w:val="Default"/>
    <w:next w:val="1310"/>
    <w:link w:val="1276"/>
    <w:qFormat/>
    <w:rPr>
      <w:color w:val="000000"/>
      <w:sz w:val="24"/>
      <w:szCs w:val="24"/>
      <w:lang w:val="ru-RU" w:eastAsia="ru-RU" w:bidi="ar-SA"/>
    </w:rPr>
  </w:style>
  <w:style w:type="paragraph" w:styleId="1311">
    <w:name w:val="a9"/>
    <w:basedOn w:val="1276"/>
    <w:next w:val="1276"/>
    <w:link w:val="1276"/>
    <w:qFormat/>
    <w:pPr>
      <w:jc w:val="center"/>
      <w:spacing w:before="240" w:after="60"/>
      <w:outlineLvl w:val="0"/>
    </w:pPr>
    <w:rPr>
      <w:rFonts w:ascii="Calibri Light" w:hAnsi="Calibri Light"/>
      <w:b/>
      <w:bCs/>
      <w:sz w:val="32"/>
      <w:szCs w:val="32"/>
    </w:rPr>
  </w:style>
  <w:style w:type="paragraph" w:styleId="1312">
    <w:name w:val="Название"/>
    <w:basedOn w:val="1276"/>
    <w:next w:val="1276"/>
    <w:link w:val="1286"/>
    <w:qFormat/>
    <w:pPr>
      <w:contextualSpacing/>
      <w:spacing w:before="0" w:after="300"/>
      <w:pBdr>
        <w:bottom w:val="single" w:color="5B9BD5" w:sz="8" w:space="4"/>
      </w:pBdr>
    </w:pPr>
    <w:rPr>
      <w:rFonts w:ascii="Calibri Light" w:hAnsi="Calibri Light"/>
      <w:b/>
      <w:bCs/>
      <w:sz w:val="32"/>
      <w:szCs w:val="32"/>
    </w:rPr>
  </w:style>
  <w:style w:type="paragraph" w:styleId="1313">
    <w:name w:val="Текст выноски"/>
    <w:basedOn w:val="1276"/>
    <w:next w:val="1313"/>
    <w:link w:val="128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1314">
    <w:name w:val="Пункт"/>
    <w:basedOn w:val="1276"/>
    <w:next w:val="1314"/>
    <w:link w:val="1276"/>
    <w:qFormat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1315">
    <w:name w:val="Подпункт"/>
    <w:basedOn w:val="1314"/>
    <w:next w:val="1315"/>
    <w:link w:val="1276"/>
    <w:qFormat/>
  </w:style>
  <w:style w:type="paragraph" w:styleId="1316">
    <w:name w:val="Подподпункт"/>
    <w:basedOn w:val="1315"/>
    <w:next w:val="1316"/>
    <w:link w:val="1276"/>
    <w:qFormat/>
  </w:style>
  <w:style w:type="paragraph" w:styleId="1317">
    <w:name w:val="Нумерованный список"/>
    <w:basedOn w:val="1276"/>
    <w:next w:val="1317"/>
    <w:link w:val="1276"/>
    <w:pPr>
      <w:jc w:val="both"/>
      <w:spacing w:before="60" w:after="0" w:line="360" w:lineRule="auto"/>
    </w:pPr>
    <w:rPr>
      <w:sz w:val="28"/>
    </w:rPr>
  </w:style>
  <w:style w:type="paragraph" w:styleId="1318">
    <w:name w:val="Текст сноски"/>
    <w:basedOn w:val="1276"/>
    <w:next w:val="1318"/>
    <w:link w:val="1292"/>
    <w:semiHidden/>
    <w:unhideWhenUsed/>
    <w:rPr>
      <w:sz w:val="20"/>
      <w:szCs w:val="20"/>
    </w:rPr>
  </w:style>
  <w:style w:type="paragraph" w:styleId="1319">
    <w:name w:val="Содержимое врезки"/>
    <w:basedOn w:val="1276"/>
    <w:next w:val="1319"/>
    <w:link w:val="1276"/>
    <w:qFormat/>
  </w:style>
  <w:style w:type="numbering" w:styleId="1320">
    <w:name w:val="WW8Num21"/>
    <w:next w:val="1320"/>
    <w:link w:val="1276"/>
    <w:qFormat/>
  </w:style>
  <w:style w:type="numbering" w:styleId="1321">
    <w:name w:val="WW8Num3"/>
    <w:next w:val="1321"/>
    <w:link w:val="1276"/>
    <w:qFormat/>
  </w:style>
  <w:style w:type="numbering" w:styleId="1322">
    <w:name w:val="WW8Num37"/>
    <w:next w:val="1322"/>
    <w:link w:val="1276"/>
    <w:qFormat/>
  </w:style>
  <w:style w:type="numbering" w:styleId="1323">
    <w:name w:val="WW8Num38"/>
    <w:next w:val="1323"/>
    <w:link w:val="1276"/>
    <w:qFormat/>
  </w:style>
  <w:style w:type="character" w:styleId="1324" w:default="1">
    <w:name w:val="Default Paragraph Font"/>
    <w:uiPriority w:val="1"/>
    <w:semiHidden/>
    <w:unhideWhenUsed/>
  </w:style>
  <w:style w:type="numbering" w:styleId="1325" w:default="1">
    <w:name w:val="No List"/>
    <w:uiPriority w:val="99"/>
    <w:semiHidden/>
    <w:unhideWhenUsed/>
  </w:style>
  <w:style w:type="table" w:styleId="13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TopS BI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dc:language>ru-RU</dc:language>
  <cp:lastModifiedBy>zinoveva-ev</cp:lastModifiedBy>
  <cp:revision>11</cp:revision>
  <dcterms:created xsi:type="dcterms:W3CDTF">2026-07-22T11:49:00Z</dcterms:created>
  <dcterms:modified xsi:type="dcterms:W3CDTF">2026-09-09T08:10:58Z</dcterms:modified>
  <cp:version>1048576</cp:version>
</cp:coreProperties>
</file>